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3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45"/>
        <w:gridCol w:w="5896"/>
      </w:tblGrid>
      <w:tr w14:paraId="348F60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3" w:hRule="atLeast"/>
        </w:trPr>
        <w:tc>
          <w:tcPr>
            <w:tcW w:w="5245" w:type="dxa"/>
            <w:tcBorders>
              <w:top w:val="nil"/>
              <w:left w:val="nil"/>
            </w:tcBorders>
          </w:tcPr>
          <w:p w14:paraId="2DFF0CF5">
            <w:pPr>
              <w:pStyle w:val="15"/>
              <w:ind w:left="426" w:right="414" w:hanging="6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КИЇВСЬКИЙ НАЦІОНАЛЬНИЙ ЛІНГВІСТИЧНИЙ</w:t>
            </w:r>
            <w:r>
              <w:rPr>
                <w:b/>
                <w:spacing w:val="-17"/>
                <w:sz w:val="26"/>
              </w:rPr>
              <w:t xml:space="preserve"> </w:t>
            </w:r>
            <w:r>
              <w:rPr>
                <w:b/>
                <w:sz w:val="26"/>
              </w:rPr>
              <w:t>УНІВЕРСИТЕТ</w:t>
            </w:r>
          </w:p>
          <w:p w14:paraId="2BE06B46">
            <w:pPr>
              <w:pStyle w:val="15"/>
              <w:ind w:left="426" w:right="414" w:hanging="6"/>
              <w:jc w:val="center"/>
            </w:pPr>
          </w:p>
          <w:p w14:paraId="5FE61C4F">
            <w:pPr>
              <w:pStyle w:val="15"/>
              <w:jc w:val="center"/>
              <w:rPr>
                <w:rFonts w:ascii="Trebuchet MS"/>
                <w:sz w:val="20"/>
              </w:rPr>
            </w:pPr>
            <w:r>
              <w:rPr>
                <w:rFonts w:ascii="Trebuchet MS"/>
                <w:sz w:val="20"/>
              </w:rPr>
              <w:drawing>
                <wp:inline distT="0" distB="0" distL="0" distR="0">
                  <wp:extent cx="827405" cy="828675"/>
                  <wp:effectExtent l="0" t="0" r="0" b="0"/>
                  <wp:docPr id="2" name="Image 2" descr="Київський національний лінгвістичний університет (КНЛУ)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2" descr="Київський національний лінгвістичний університет (КНЛУ)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8000" cy="828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rebuchet MS"/>
                <w:sz w:val="20"/>
              </w:rPr>
              <w:drawing>
                <wp:inline distT="0" distB="0" distL="0" distR="0">
                  <wp:extent cx="827405" cy="827405"/>
                  <wp:effectExtent l="0" t="0" r="0" b="0"/>
                  <wp:docPr id="1317665254" name="Рисунок 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7665254" name="Рисунок 7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904" t="12903" r="11613" b="103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8000" cy="828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F6CD539">
            <w:pPr>
              <w:pStyle w:val="15"/>
              <w:tabs>
                <w:tab w:val="left" w:pos="4953"/>
              </w:tabs>
              <w:ind w:left="67" w:right="110"/>
              <w:jc w:val="center"/>
              <w:rPr>
                <w:b/>
                <w:sz w:val="26"/>
              </w:rPr>
            </w:pPr>
          </w:p>
          <w:p w14:paraId="7A10B3DD">
            <w:pPr>
              <w:pStyle w:val="15"/>
              <w:tabs>
                <w:tab w:val="left" w:pos="4953"/>
              </w:tabs>
              <w:ind w:left="67" w:right="11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ФІЛОЛОГІЧНИЙ ФАКУЛЬТЕТ ОСВІТНІХ ТЕХНОЛОГІЙ</w:t>
            </w:r>
          </w:p>
          <w:p w14:paraId="1CAA0357">
            <w:pPr>
              <w:pStyle w:val="15"/>
              <w:tabs>
                <w:tab w:val="left" w:pos="4953"/>
              </w:tabs>
              <w:ind w:left="67" w:right="110"/>
              <w:jc w:val="center"/>
              <w:rPr>
                <w:sz w:val="26"/>
              </w:rPr>
            </w:pPr>
            <w:r>
              <w:rPr>
                <w:b/>
                <w:sz w:val="26"/>
              </w:rPr>
              <w:t>Кафедра педагогіки та методики навчання іноземних мов</w:t>
            </w:r>
          </w:p>
        </w:tc>
        <w:tc>
          <w:tcPr>
            <w:tcW w:w="5896" w:type="dxa"/>
          </w:tcPr>
          <w:p w14:paraId="414EEF81">
            <w:pPr>
              <w:pStyle w:val="15"/>
              <w:spacing w:line="295" w:lineRule="exact"/>
              <w:ind w:left="13"/>
              <w:jc w:val="center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СИЛАБУС</w:t>
            </w:r>
          </w:p>
          <w:p w14:paraId="3421FC50">
            <w:pPr>
              <w:pStyle w:val="15"/>
              <w:spacing w:line="298" w:lineRule="exact"/>
              <w:ind w:left="13" w:right="6"/>
              <w:jc w:val="center"/>
              <w:rPr>
                <w:b/>
                <w:spacing w:val="-2"/>
                <w:sz w:val="26"/>
              </w:rPr>
            </w:pPr>
            <w:r>
              <w:rPr>
                <w:b/>
                <w:spacing w:val="-2"/>
                <w:sz w:val="26"/>
              </w:rPr>
              <w:t>дисципліни професійного спрямування</w:t>
            </w:r>
          </w:p>
          <w:p w14:paraId="6140FFD4">
            <w:pPr>
              <w:pStyle w:val="15"/>
              <w:spacing w:line="298" w:lineRule="exact"/>
              <w:ind w:left="13" w:right="6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pacing w:val="-10"/>
                <w:sz w:val="26"/>
                <w:szCs w:val="26"/>
              </w:rPr>
              <w:t>«Ігров</w:t>
            </w:r>
            <w:r>
              <w:rPr>
                <w:b/>
                <w:sz w:val="26"/>
                <w:szCs w:val="26"/>
              </w:rPr>
              <w:t>і технології</w:t>
            </w:r>
          </w:p>
          <w:p w14:paraId="5FA70A4D">
            <w:pPr>
              <w:pStyle w:val="15"/>
              <w:spacing w:line="298" w:lineRule="exact"/>
              <w:ind w:left="13" w:right="6"/>
              <w:jc w:val="center"/>
              <w:rPr>
                <w:b/>
                <w:spacing w:val="-10"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навчання іноземних мов</w:t>
            </w:r>
            <w:r>
              <w:rPr>
                <w:b/>
                <w:spacing w:val="-10"/>
                <w:sz w:val="26"/>
                <w:szCs w:val="26"/>
              </w:rPr>
              <w:t>»</w:t>
            </w:r>
          </w:p>
          <w:p w14:paraId="2A46C003">
            <w:pPr>
              <w:pStyle w:val="15"/>
              <w:tabs>
                <w:tab w:val="left" w:pos="4703"/>
                <w:tab w:val="left" w:pos="5085"/>
                <w:tab w:val="left" w:pos="5645"/>
              </w:tabs>
              <w:ind w:left="113" w:right="79" w:hanging="79"/>
              <w:rPr>
                <w:b/>
                <w:sz w:val="26"/>
                <w:szCs w:val="26"/>
              </w:rPr>
            </w:pPr>
          </w:p>
          <w:p w14:paraId="1E3726E6">
            <w:pPr>
              <w:pStyle w:val="15"/>
              <w:spacing w:line="298" w:lineRule="exact"/>
              <w:ind w:left="13" w:right="6"/>
              <w:jc w:val="center"/>
              <w:rPr>
                <w:b/>
                <w:spacing w:val="-2"/>
                <w:sz w:val="26"/>
              </w:rPr>
            </w:pPr>
            <w:r>
              <w:rPr>
                <w:b/>
                <w:spacing w:val="-2"/>
                <w:sz w:val="26"/>
              </w:rPr>
              <w:t>Спеціальність: А1 Освітні науки</w:t>
            </w:r>
          </w:p>
          <w:p w14:paraId="620BEC06">
            <w:pPr>
              <w:pStyle w:val="15"/>
              <w:spacing w:line="298" w:lineRule="exact"/>
              <w:ind w:left="13" w:right="6"/>
              <w:jc w:val="center"/>
              <w:rPr>
                <w:b/>
                <w:spacing w:val="-2"/>
                <w:sz w:val="26"/>
              </w:rPr>
            </w:pPr>
            <w:r>
              <w:rPr>
                <w:b/>
                <w:spacing w:val="-2"/>
                <w:sz w:val="26"/>
              </w:rPr>
              <w:t>Спеціалізація: А4.022 Німецька мова та зарубіжна література</w:t>
            </w:r>
          </w:p>
          <w:p w14:paraId="1CA50014">
            <w:pPr>
              <w:pStyle w:val="15"/>
              <w:ind w:left="13" w:right="6"/>
              <w:jc w:val="center"/>
              <w:rPr>
                <w:b/>
                <w:sz w:val="26"/>
                <w:szCs w:val="26"/>
              </w:rPr>
            </w:pPr>
          </w:p>
          <w:p w14:paraId="7CE23879">
            <w:pPr>
              <w:pStyle w:val="15"/>
              <w:spacing w:line="298" w:lineRule="exact"/>
              <w:ind w:left="13" w:right="6"/>
              <w:jc w:val="center"/>
              <w:rPr>
                <w:b/>
                <w:spacing w:val="-2"/>
                <w:sz w:val="26"/>
              </w:rPr>
            </w:pPr>
            <w:r>
              <w:rPr>
                <w:b/>
                <w:spacing w:val="-2"/>
                <w:sz w:val="26"/>
              </w:rPr>
              <w:t>Освітня програма:</w:t>
            </w:r>
          </w:p>
          <w:p w14:paraId="2817CFE6">
            <w:pPr>
              <w:pStyle w:val="15"/>
              <w:spacing w:line="298" w:lineRule="exact"/>
              <w:ind w:left="13" w:right="6"/>
              <w:jc w:val="center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«Німецька мова і друга західноєвропейська мова, зарубіжна література, методика навчання іноземних мов»</w:t>
            </w:r>
          </w:p>
        </w:tc>
      </w:tr>
      <w:tr w14:paraId="1EAD67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5245" w:type="dxa"/>
          </w:tcPr>
          <w:p w14:paraId="7B6A86D3">
            <w:pPr>
              <w:pStyle w:val="15"/>
              <w:spacing w:line="296" w:lineRule="exact"/>
              <w:ind w:left="105"/>
              <w:rPr>
                <w:b/>
                <w:sz w:val="26"/>
              </w:rPr>
            </w:pPr>
            <w:r>
              <w:rPr>
                <w:b/>
                <w:sz w:val="26"/>
              </w:rPr>
              <w:t>Рівень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z w:val="26"/>
              </w:rPr>
              <w:t>вищої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освіти</w:t>
            </w:r>
          </w:p>
        </w:tc>
        <w:tc>
          <w:tcPr>
            <w:tcW w:w="5896" w:type="dxa"/>
          </w:tcPr>
          <w:p w14:paraId="40C347FC">
            <w:pPr>
              <w:pStyle w:val="15"/>
              <w:ind w:left="32" w:right="7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Другий (магістерський) рівень</w:t>
            </w:r>
          </w:p>
        </w:tc>
      </w:tr>
      <w:tr w14:paraId="7C541B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5245" w:type="dxa"/>
          </w:tcPr>
          <w:p w14:paraId="7D7370AB">
            <w:pPr>
              <w:pStyle w:val="15"/>
              <w:spacing w:line="296" w:lineRule="exact"/>
              <w:ind w:left="105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Кафедра</w:t>
            </w:r>
          </w:p>
        </w:tc>
        <w:tc>
          <w:tcPr>
            <w:tcW w:w="5896" w:type="dxa"/>
          </w:tcPr>
          <w:p w14:paraId="50B64A7A">
            <w:pPr>
              <w:pStyle w:val="15"/>
              <w:ind w:left="32" w:right="7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Кафедра педагогіки та методики навчання іноземних мов</w:t>
            </w:r>
          </w:p>
        </w:tc>
      </w:tr>
      <w:tr w14:paraId="59A7F8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" w:hRule="atLeast"/>
        </w:trPr>
        <w:tc>
          <w:tcPr>
            <w:tcW w:w="5245" w:type="dxa"/>
          </w:tcPr>
          <w:p w14:paraId="41C28171">
            <w:pPr>
              <w:pStyle w:val="15"/>
              <w:spacing w:line="296" w:lineRule="exact"/>
              <w:ind w:left="105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Факультет</w:t>
            </w:r>
          </w:p>
        </w:tc>
        <w:tc>
          <w:tcPr>
            <w:tcW w:w="5896" w:type="dxa"/>
          </w:tcPr>
          <w:p w14:paraId="5DEC9F4B">
            <w:pPr>
              <w:pStyle w:val="15"/>
              <w:ind w:left="32" w:right="7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Філологічний факультет освітніх технологій</w:t>
            </w:r>
          </w:p>
        </w:tc>
      </w:tr>
      <w:tr w14:paraId="4C7C71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5245" w:type="dxa"/>
          </w:tcPr>
          <w:p w14:paraId="1C03BA83">
            <w:pPr>
              <w:pStyle w:val="15"/>
              <w:spacing w:line="296" w:lineRule="exact"/>
              <w:ind w:left="105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Викладач</w:t>
            </w:r>
          </w:p>
        </w:tc>
        <w:tc>
          <w:tcPr>
            <w:tcW w:w="5896" w:type="dxa"/>
          </w:tcPr>
          <w:p w14:paraId="6D081D8C">
            <w:pPr>
              <w:pStyle w:val="15"/>
              <w:ind w:left="32" w:right="7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Устименко Ольга Михайлівна,</w:t>
            </w:r>
          </w:p>
          <w:p w14:paraId="56170735">
            <w:pPr>
              <w:pStyle w:val="15"/>
              <w:ind w:left="32" w:right="7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кандидат педагогічних наук, доцент</w:t>
            </w:r>
          </w:p>
        </w:tc>
      </w:tr>
      <w:tr w14:paraId="3E27B3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" w:hRule="atLeast"/>
        </w:trPr>
        <w:tc>
          <w:tcPr>
            <w:tcW w:w="5245" w:type="dxa"/>
          </w:tcPr>
          <w:p w14:paraId="5D15F951">
            <w:pPr>
              <w:pStyle w:val="15"/>
              <w:spacing w:line="296" w:lineRule="exact"/>
              <w:ind w:left="105"/>
              <w:rPr>
                <w:b/>
                <w:sz w:val="26"/>
              </w:rPr>
            </w:pPr>
            <w:r>
              <w:rPr>
                <w:b/>
                <w:spacing w:val="-4"/>
                <w:sz w:val="26"/>
              </w:rPr>
              <w:t xml:space="preserve">Статус </w:t>
            </w:r>
            <w:r>
              <w:rPr>
                <w:b/>
                <w:spacing w:val="-2"/>
                <w:sz w:val="26"/>
              </w:rPr>
              <w:t>дисципліни</w:t>
            </w:r>
          </w:p>
        </w:tc>
        <w:tc>
          <w:tcPr>
            <w:tcW w:w="5896" w:type="dxa"/>
          </w:tcPr>
          <w:p w14:paraId="2F0A6DEC">
            <w:pPr>
              <w:pStyle w:val="15"/>
              <w:ind w:left="32" w:right="7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Вибіркова </w:t>
            </w:r>
          </w:p>
        </w:tc>
      </w:tr>
      <w:tr w14:paraId="05E428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5245" w:type="dxa"/>
          </w:tcPr>
          <w:p w14:paraId="142C7A9C">
            <w:pPr>
              <w:pStyle w:val="15"/>
              <w:spacing w:line="296" w:lineRule="exact"/>
              <w:ind w:left="105"/>
              <w:rPr>
                <w:b/>
                <w:sz w:val="26"/>
              </w:rPr>
            </w:pPr>
            <w:r>
              <w:rPr>
                <w:b/>
                <w:sz w:val="26"/>
              </w:rPr>
              <w:t>Курс,</w:t>
            </w:r>
            <w:r>
              <w:rPr>
                <w:b/>
                <w:spacing w:val="-10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семестр</w:t>
            </w:r>
          </w:p>
        </w:tc>
        <w:tc>
          <w:tcPr>
            <w:tcW w:w="5896" w:type="dxa"/>
          </w:tcPr>
          <w:p w14:paraId="09686B2C">
            <w:pPr>
              <w:pStyle w:val="15"/>
              <w:ind w:left="32" w:right="7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Другий рік навчання, перший семестр</w:t>
            </w:r>
          </w:p>
        </w:tc>
      </w:tr>
      <w:tr w14:paraId="73815B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5245" w:type="dxa"/>
          </w:tcPr>
          <w:p w14:paraId="1CFE8563">
            <w:pPr>
              <w:pStyle w:val="15"/>
              <w:spacing w:line="242" w:lineRule="auto"/>
              <w:ind w:left="105"/>
              <w:rPr>
                <w:b/>
                <w:sz w:val="26"/>
              </w:rPr>
            </w:pPr>
            <w:r>
              <w:rPr>
                <w:b/>
                <w:sz w:val="26"/>
              </w:rPr>
              <w:t>Обсяг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дисципліни</w:t>
            </w:r>
            <w:r>
              <w:rPr>
                <w:b/>
                <w:spacing w:val="-10"/>
                <w:sz w:val="26"/>
              </w:rPr>
              <w:t xml:space="preserve"> </w:t>
            </w:r>
            <w:r>
              <w:rPr>
                <w:b/>
                <w:sz w:val="26"/>
              </w:rPr>
              <w:t>у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z w:val="26"/>
              </w:rPr>
              <w:t>кредитах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z w:val="26"/>
              </w:rPr>
              <w:t>ЄКТС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z w:val="26"/>
              </w:rPr>
              <w:t>/ загальна кількість годин</w:t>
            </w:r>
          </w:p>
        </w:tc>
        <w:tc>
          <w:tcPr>
            <w:tcW w:w="5896" w:type="dxa"/>
          </w:tcPr>
          <w:p w14:paraId="6B4FE7ED">
            <w:pPr>
              <w:pStyle w:val="15"/>
              <w:ind w:left="32" w:right="7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 кредити, 90 годин</w:t>
            </w:r>
          </w:p>
        </w:tc>
      </w:tr>
      <w:tr w14:paraId="01B03E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5245" w:type="dxa"/>
          </w:tcPr>
          <w:p w14:paraId="449DF111">
            <w:pPr>
              <w:pStyle w:val="15"/>
              <w:spacing w:line="296" w:lineRule="exact"/>
              <w:ind w:left="105"/>
              <w:rPr>
                <w:b/>
                <w:sz w:val="26"/>
              </w:rPr>
            </w:pPr>
            <w:r>
              <w:rPr>
                <w:b/>
                <w:sz w:val="26"/>
              </w:rPr>
              <w:t>Мова</w:t>
            </w:r>
            <w:r>
              <w:rPr>
                <w:b/>
                <w:spacing w:val="-16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викладання</w:t>
            </w:r>
          </w:p>
        </w:tc>
        <w:tc>
          <w:tcPr>
            <w:tcW w:w="5896" w:type="dxa"/>
          </w:tcPr>
          <w:p w14:paraId="7A35EC1E">
            <w:pPr>
              <w:pStyle w:val="15"/>
              <w:ind w:left="32" w:right="7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Українська</w:t>
            </w:r>
          </w:p>
        </w:tc>
      </w:tr>
      <w:tr w14:paraId="55C7ED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7" w:hRule="atLeast"/>
        </w:trPr>
        <w:tc>
          <w:tcPr>
            <w:tcW w:w="5245" w:type="dxa"/>
          </w:tcPr>
          <w:p w14:paraId="61484139">
            <w:pPr>
              <w:pStyle w:val="15"/>
              <w:spacing w:line="295" w:lineRule="exact"/>
              <w:ind w:left="105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Коротка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анотація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дисципліни</w:t>
            </w:r>
          </w:p>
          <w:p w14:paraId="2BFB07C5">
            <w:pPr>
              <w:pStyle w:val="15"/>
              <w:spacing w:line="298" w:lineRule="exact"/>
              <w:ind w:left="105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(Що</w:t>
            </w:r>
            <w:r>
              <w:rPr>
                <w:b/>
                <w:i/>
                <w:spacing w:val="-3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я</w:t>
            </w:r>
            <w:r>
              <w:rPr>
                <w:b/>
                <w:i/>
                <w:spacing w:val="-1"/>
                <w:sz w:val="26"/>
              </w:rPr>
              <w:t xml:space="preserve"> </w:t>
            </w:r>
            <w:r>
              <w:rPr>
                <w:b/>
                <w:i/>
                <w:spacing w:val="-2"/>
                <w:sz w:val="26"/>
              </w:rPr>
              <w:t>вивчатиму?)</w:t>
            </w:r>
          </w:p>
        </w:tc>
        <w:tc>
          <w:tcPr>
            <w:tcW w:w="5896" w:type="dxa"/>
          </w:tcPr>
          <w:p w14:paraId="645286D6">
            <w:pPr>
              <w:pStyle w:val="15"/>
              <w:ind w:left="32" w:right="74" w:firstLine="53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Розкриваються основи методики використання ігрових технологій у навчанні іноземних мов учнів закладів загальної середньої освіти. Відбувається формування професійно-методичного мислення, оволодіння професійно-методичними знаннями і вміннями впроваджувати ігрові технології та сучасні цифрові засоби в освітній процес з вивчення іноземних мов.</w:t>
            </w:r>
          </w:p>
          <w:p w14:paraId="5865D5CD">
            <w:pPr>
              <w:pStyle w:val="15"/>
              <w:ind w:left="32" w:right="74" w:firstLine="53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Зміст навчальної дисципліни викладено в двох змістових модулях. У першому модулі подаються теоретичні засади впровадження ігрових технологій у процес навчання іноземних мов учнів закладів загальної середньої освіти, в другому – розкриваються практичні аспекти методики використання ігрових технологій і цифрових засобів навчання іноземних мов учнів закладів загальної середньої освіти.</w:t>
            </w:r>
          </w:p>
        </w:tc>
      </w:tr>
      <w:tr w14:paraId="00B357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5245" w:type="dxa"/>
          </w:tcPr>
          <w:p w14:paraId="71DCA098">
            <w:pPr>
              <w:pStyle w:val="15"/>
              <w:spacing w:line="295" w:lineRule="exact"/>
              <w:ind w:left="105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Мета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вивчення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дисципліни</w:t>
            </w:r>
          </w:p>
          <w:p w14:paraId="3809E7DF">
            <w:pPr>
              <w:pStyle w:val="15"/>
              <w:spacing w:line="298" w:lineRule="exact"/>
              <w:ind w:left="105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(Чому</w:t>
            </w:r>
            <w:r>
              <w:rPr>
                <w:b/>
                <w:i/>
                <w:spacing w:val="-10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це</w:t>
            </w:r>
            <w:r>
              <w:rPr>
                <w:b/>
                <w:i/>
                <w:spacing w:val="-9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цікаво</w:t>
            </w:r>
            <w:r>
              <w:rPr>
                <w:b/>
                <w:i/>
                <w:spacing w:val="-10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й</w:t>
            </w:r>
            <w:r>
              <w:rPr>
                <w:b/>
                <w:i/>
                <w:spacing w:val="-9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потрібно</w:t>
            </w:r>
            <w:r>
              <w:rPr>
                <w:b/>
                <w:i/>
                <w:spacing w:val="-9"/>
                <w:sz w:val="26"/>
              </w:rPr>
              <w:t xml:space="preserve"> </w:t>
            </w:r>
            <w:r>
              <w:rPr>
                <w:b/>
                <w:i/>
                <w:spacing w:val="-2"/>
                <w:sz w:val="26"/>
              </w:rPr>
              <w:t>вивчати?)</w:t>
            </w:r>
          </w:p>
        </w:tc>
        <w:tc>
          <w:tcPr>
            <w:tcW w:w="5896" w:type="dxa"/>
          </w:tcPr>
          <w:p w14:paraId="6F112B34">
            <w:pPr>
              <w:pStyle w:val="15"/>
              <w:ind w:left="32" w:right="74" w:firstLine="53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Метою вивчення дисципліни «Ігрові технології навчання іноземних мов» є ознайомлення </w:t>
            </w:r>
            <w:r>
              <w:rPr>
                <w:spacing w:val="-6"/>
                <w:sz w:val="26"/>
                <w:szCs w:val="26"/>
              </w:rPr>
              <w:t xml:space="preserve">майбутніх учителів німецької мови з методикою використання ігрових технологій у навчанні іноземних мов учнів закладів загальної середньої освіти,  формування професійно-методичних умінь добирати та самостійно розробляти навчальні матеріали ігрового характеру із застосуванням сучасних цифрових засобів. </w:t>
            </w:r>
            <w:r>
              <w:rPr>
                <w:sz w:val="26"/>
                <w:szCs w:val="26"/>
              </w:rPr>
              <w:t>Це сприяє формуванню інтегральної компетентності випускника освітньої програми «Німецька мова і друга західноєвропейська мова, зарубіжна література, методика навчання іноземних мов», як-от: «Здатність розв’язувати складні завдання і проблеми в галузі методики навчання німецької мови, другої іноземної мови та зарубіжної літератури в процесі професійної діяльності та навчання, що передбачає проведення досліджень та використання сучасних освітніх концепцій, інноваційних методів і технологій навчання».</w:t>
            </w:r>
          </w:p>
        </w:tc>
      </w:tr>
      <w:tr w14:paraId="288BD1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5245" w:type="dxa"/>
          </w:tcPr>
          <w:p w14:paraId="7B3F6BD0">
            <w:pPr>
              <w:pStyle w:val="15"/>
              <w:spacing w:line="295" w:lineRule="exact"/>
              <w:ind w:left="105"/>
              <w:rPr>
                <w:b/>
                <w:sz w:val="26"/>
              </w:rPr>
            </w:pPr>
            <w:r>
              <w:rPr>
                <w:b/>
                <w:spacing w:val="-4"/>
                <w:sz w:val="26"/>
              </w:rPr>
              <w:t>Результати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навчання</w:t>
            </w:r>
          </w:p>
          <w:p w14:paraId="4B180E4A">
            <w:pPr>
              <w:pStyle w:val="15"/>
              <w:spacing w:line="298" w:lineRule="exact"/>
              <w:ind w:left="105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(Чому</w:t>
            </w:r>
            <w:r>
              <w:rPr>
                <w:b/>
                <w:i/>
                <w:spacing w:val="-7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я</w:t>
            </w:r>
            <w:r>
              <w:rPr>
                <w:b/>
                <w:i/>
                <w:spacing w:val="-7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навчуся</w:t>
            </w:r>
            <w:r>
              <w:rPr>
                <w:b/>
                <w:i/>
                <w:spacing w:val="-7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на</w:t>
            </w:r>
            <w:r>
              <w:rPr>
                <w:b/>
                <w:i/>
                <w:spacing w:val="-7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цій</w:t>
            </w:r>
            <w:r>
              <w:rPr>
                <w:b/>
                <w:i/>
                <w:spacing w:val="-7"/>
                <w:sz w:val="26"/>
              </w:rPr>
              <w:t xml:space="preserve"> </w:t>
            </w:r>
            <w:r>
              <w:rPr>
                <w:b/>
                <w:i/>
                <w:spacing w:val="-2"/>
                <w:sz w:val="26"/>
              </w:rPr>
              <w:t>дисципліні?)</w:t>
            </w:r>
          </w:p>
        </w:tc>
        <w:tc>
          <w:tcPr>
            <w:tcW w:w="5896" w:type="dxa"/>
          </w:tcPr>
          <w:p w14:paraId="74E8F855">
            <w:pPr>
              <w:pStyle w:val="11"/>
              <w:ind w:right="74" w:firstLine="531"/>
              <w:jc w:val="both"/>
            </w:pPr>
            <w:r>
              <w:rPr>
                <w:rFonts w:ascii="Times New Roman" w:hAnsi="Times New Roman" w:cs="Times New Roman"/>
              </w:rPr>
              <w:t>Оволодіння професійно-методичними знаннями і вміннями впроваджувати ігрові технології в освітній процес з навчання іноземних мов учнів закладів загальної середньої освіти, в тому числі з використанням сучасних цифрових засобів та штучного інтелекту.</w:t>
            </w:r>
          </w:p>
        </w:tc>
      </w:tr>
      <w:tr w14:paraId="43D287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5" w:hRule="atLeast"/>
        </w:trPr>
        <w:tc>
          <w:tcPr>
            <w:tcW w:w="5245" w:type="dxa"/>
          </w:tcPr>
          <w:p w14:paraId="2F85C3D9">
            <w:pPr>
              <w:pStyle w:val="15"/>
              <w:spacing w:line="277" w:lineRule="exact"/>
              <w:ind w:left="105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Компетентності</w:t>
            </w:r>
          </w:p>
          <w:p w14:paraId="16F8FE46">
            <w:pPr>
              <w:pStyle w:val="15"/>
              <w:tabs>
                <w:tab w:val="left" w:pos="834"/>
                <w:tab w:val="left" w:pos="1933"/>
                <w:tab w:val="left" w:pos="3114"/>
                <w:tab w:val="left" w:pos="3464"/>
                <w:tab w:val="left" w:pos="4784"/>
              </w:tabs>
              <w:ind w:left="105" w:right="97"/>
              <w:rPr>
                <w:b/>
                <w:sz w:val="26"/>
              </w:rPr>
            </w:pPr>
            <w:r>
              <w:rPr>
                <w:b/>
                <w:i/>
                <w:spacing w:val="-4"/>
                <w:sz w:val="26"/>
              </w:rPr>
              <w:t xml:space="preserve">(Яку </w:t>
            </w:r>
            <w:r>
              <w:rPr>
                <w:b/>
                <w:i/>
                <w:spacing w:val="-2"/>
                <w:sz w:val="26"/>
              </w:rPr>
              <w:t xml:space="preserve">сукупну користь </w:t>
            </w:r>
            <w:r>
              <w:rPr>
                <w:b/>
                <w:i/>
                <w:spacing w:val="-10"/>
                <w:sz w:val="26"/>
              </w:rPr>
              <w:t xml:space="preserve">я </w:t>
            </w:r>
            <w:r>
              <w:rPr>
                <w:b/>
                <w:i/>
                <w:spacing w:val="-2"/>
                <w:sz w:val="26"/>
              </w:rPr>
              <w:t xml:space="preserve">отримаю </w:t>
            </w:r>
            <w:r>
              <w:rPr>
                <w:b/>
                <w:i/>
                <w:spacing w:val="-4"/>
                <w:sz w:val="26"/>
              </w:rPr>
              <w:t xml:space="preserve">від </w:t>
            </w:r>
            <w:r>
              <w:rPr>
                <w:b/>
                <w:i/>
                <w:sz w:val="26"/>
              </w:rPr>
              <w:t>вивчення цієї дисципліни?)</w:t>
            </w:r>
          </w:p>
        </w:tc>
        <w:tc>
          <w:tcPr>
            <w:tcW w:w="5896" w:type="dxa"/>
          </w:tcPr>
          <w:p w14:paraId="693F7E05">
            <w:pPr>
              <w:pStyle w:val="11"/>
              <w:ind w:right="74" w:firstLine="531"/>
              <w:jc w:val="both"/>
            </w:pPr>
            <w:r>
              <w:rPr>
                <w:rFonts w:ascii="Times New Roman" w:hAnsi="Times New Roman" w:cs="Times New Roman"/>
              </w:rPr>
              <w:t>Формування у майбутніх учителів професійно-методичної компетентності – готовності і здатності використовувати ігрові технології для навчання іноземних мов учнів закладів загальної середньої освіти.</w:t>
            </w:r>
          </w:p>
        </w:tc>
      </w:tr>
      <w:tr w14:paraId="1EE6E2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26" w:hRule="atLeast"/>
        </w:trPr>
        <w:tc>
          <w:tcPr>
            <w:tcW w:w="5245" w:type="dxa"/>
          </w:tcPr>
          <w:p w14:paraId="38153D86">
            <w:pPr>
              <w:pStyle w:val="15"/>
              <w:spacing w:line="296" w:lineRule="exact"/>
              <w:ind w:left="105"/>
              <w:rPr>
                <w:b/>
                <w:spacing w:val="-2"/>
                <w:sz w:val="26"/>
              </w:rPr>
            </w:pPr>
            <w:r>
              <w:rPr>
                <w:b/>
                <w:sz w:val="26"/>
              </w:rPr>
              <w:t>Види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z w:val="26"/>
              </w:rPr>
              <w:t xml:space="preserve">занять і їхній розподіл за </w:t>
            </w:r>
            <w:r>
              <w:rPr>
                <w:b/>
                <w:spacing w:val="-2"/>
                <w:sz w:val="26"/>
              </w:rPr>
              <w:t>годинами</w:t>
            </w:r>
          </w:p>
          <w:p w14:paraId="205D4823">
            <w:pPr>
              <w:pStyle w:val="15"/>
              <w:spacing w:line="296" w:lineRule="exact"/>
              <w:ind w:left="105"/>
              <w:rPr>
                <w:b/>
                <w:sz w:val="26"/>
              </w:rPr>
            </w:pPr>
          </w:p>
        </w:tc>
        <w:tc>
          <w:tcPr>
            <w:tcW w:w="5896" w:type="dxa"/>
          </w:tcPr>
          <w:p w14:paraId="478F6604">
            <w:pPr>
              <w:pStyle w:val="15"/>
              <w:ind w:left="32" w:firstLine="53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Розподіл годин відповідно до робочого навчального плану:</w:t>
            </w:r>
          </w:p>
          <w:tbl>
            <w:tblPr>
              <w:tblStyle w:val="13"/>
              <w:tblW w:w="5727" w:type="dxa"/>
              <w:jc w:val="center"/>
              <w:tblBorders>
                <w:top w:val="single" w:color="000000" w:sz="4" w:space="0"/>
                <w:left w:val="single" w:color="000000" w:sz="4" w:space="0"/>
                <w:bottom w:val="single" w:color="000000" w:sz="4" w:space="0"/>
                <w:right w:val="single" w:color="000000" w:sz="4" w:space="0"/>
                <w:insideH w:val="single" w:color="000000" w:sz="4" w:space="0"/>
                <w:insideV w:val="single" w:color="000000" w:sz="4" w:space="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325"/>
              <w:gridCol w:w="1814"/>
              <w:gridCol w:w="1588"/>
            </w:tblGrid>
            <w:tr w14:paraId="46D111F3"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4" w:hRule="atLeast"/>
                <w:jc w:val="center"/>
              </w:trPr>
              <w:tc>
                <w:tcPr>
                  <w:tcW w:w="2325" w:type="dxa"/>
                  <w:vAlign w:val="center"/>
                </w:tcPr>
                <w:p w14:paraId="70B14BA0">
                  <w:pPr>
                    <w:pStyle w:val="15"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Види занять</w:t>
                  </w:r>
                </w:p>
              </w:tc>
              <w:tc>
                <w:tcPr>
                  <w:tcW w:w="1814" w:type="dxa"/>
                  <w:vAlign w:val="center"/>
                </w:tcPr>
                <w:p w14:paraId="5CAF3A86">
                  <w:pPr>
                    <w:pStyle w:val="15"/>
                    <w:spacing w:line="276" w:lineRule="exact"/>
                    <w:ind w:hanging="10"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Денна/вечірня форма</w:t>
                  </w:r>
                </w:p>
              </w:tc>
              <w:tc>
                <w:tcPr>
                  <w:tcW w:w="1588" w:type="dxa"/>
                  <w:vAlign w:val="center"/>
                </w:tcPr>
                <w:p w14:paraId="49651B31">
                  <w:pPr>
                    <w:pStyle w:val="15"/>
                    <w:spacing w:line="273" w:lineRule="exact"/>
                    <w:ind w:hanging="10"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Заочна</w:t>
                  </w:r>
                  <w:r>
                    <w:rPr>
                      <w:spacing w:val="-3"/>
                      <w:sz w:val="26"/>
                      <w:szCs w:val="26"/>
                    </w:rPr>
                    <w:t xml:space="preserve"> </w:t>
                  </w:r>
                  <w:r>
                    <w:rPr>
                      <w:sz w:val="26"/>
                      <w:szCs w:val="26"/>
                    </w:rPr>
                    <w:t>форма</w:t>
                  </w:r>
                </w:p>
              </w:tc>
            </w:tr>
            <w:tr w14:paraId="49DA26E7"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5" w:hRule="atLeast"/>
                <w:jc w:val="center"/>
              </w:trPr>
              <w:tc>
                <w:tcPr>
                  <w:tcW w:w="2325" w:type="dxa"/>
                </w:tcPr>
                <w:p w14:paraId="5DAA6760">
                  <w:pPr>
                    <w:pStyle w:val="15"/>
                    <w:spacing w:line="256" w:lineRule="exact"/>
                    <w:ind w:left="107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лекції</w:t>
                  </w:r>
                </w:p>
              </w:tc>
              <w:tc>
                <w:tcPr>
                  <w:tcW w:w="1814" w:type="dxa"/>
                </w:tcPr>
                <w:p w14:paraId="6D4CAE61">
                  <w:pPr>
                    <w:pStyle w:val="15"/>
                    <w:spacing w:line="256" w:lineRule="exact"/>
                    <w:ind w:left="107"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12</w:t>
                  </w:r>
                  <w:r>
                    <w:rPr>
                      <w:spacing w:val="-2"/>
                      <w:sz w:val="26"/>
                      <w:szCs w:val="26"/>
                    </w:rPr>
                    <w:t xml:space="preserve"> </w:t>
                  </w:r>
                  <w:r>
                    <w:rPr>
                      <w:sz w:val="26"/>
                      <w:szCs w:val="26"/>
                    </w:rPr>
                    <w:t>год.</w:t>
                  </w:r>
                </w:p>
              </w:tc>
              <w:tc>
                <w:tcPr>
                  <w:tcW w:w="1588" w:type="dxa"/>
                </w:tcPr>
                <w:p w14:paraId="31CABDA5">
                  <w:pPr>
                    <w:pStyle w:val="15"/>
                    <w:spacing w:line="256" w:lineRule="exact"/>
                    <w:ind w:left="104"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-</w:t>
                  </w:r>
                </w:p>
              </w:tc>
            </w:tr>
            <w:tr w14:paraId="1671F172"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5" w:hRule="atLeast"/>
                <w:jc w:val="center"/>
              </w:trPr>
              <w:tc>
                <w:tcPr>
                  <w:tcW w:w="2325" w:type="dxa"/>
                </w:tcPr>
                <w:p w14:paraId="0454C98F">
                  <w:pPr>
                    <w:pStyle w:val="15"/>
                    <w:spacing w:line="256" w:lineRule="exact"/>
                    <w:ind w:left="107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практичні</w:t>
                  </w:r>
                  <w:r>
                    <w:rPr>
                      <w:spacing w:val="-3"/>
                      <w:sz w:val="26"/>
                      <w:szCs w:val="26"/>
                    </w:rPr>
                    <w:t xml:space="preserve"> </w:t>
                  </w:r>
                  <w:r>
                    <w:rPr>
                      <w:sz w:val="26"/>
                      <w:szCs w:val="26"/>
                    </w:rPr>
                    <w:t>заняття</w:t>
                  </w:r>
                </w:p>
              </w:tc>
              <w:tc>
                <w:tcPr>
                  <w:tcW w:w="1814" w:type="dxa"/>
                </w:tcPr>
                <w:p w14:paraId="43C52A8C">
                  <w:pPr>
                    <w:pStyle w:val="15"/>
                    <w:spacing w:line="256" w:lineRule="exact"/>
                    <w:ind w:left="107"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0 год.</w:t>
                  </w:r>
                </w:p>
              </w:tc>
              <w:tc>
                <w:tcPr>
                  <w:tcW w:w="1588" w:type="dxa"/>
                </w:tcPr>
                <w:p w14:paraId="7DFE0E27">
                  <w:pPr>
                    <w:pStyle w:val="15"/>
                    <w:spacing w:line="256" w:lineRule="exact"/>
                    <w:ind w:left="104"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-</w:t>
                  </w:r>
                </w:p>
              </w:tc>
            </w:tr>
            <w:tr w14:paraId="7A5A7B3F"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5" w:hRule="atLeast"/>
                <w:jc w:val="center"/>
              </w:trPr>
              <w:tc>
                <w:tcPr>
                  <w:tcW w:w="2325" w:type="dxa"/>
                </w:tcPr>
                <w:p w14:paraId="0BD8FDFE">
                  <w:pPr>
                    <w:pStyle w:val="15"/>
                    <w:spacing w:line="256" w:lineRule="exact"/>
                    <w:ind w:left="107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самостійна</w:t>
                  </w:r>
                  <w:r>
                    <w:rPr>
                      <w:spacing w:val="-3"/>
                      <w:sz w:val="26"/>
                      <w:szCs w:val="26"/>
                    </w:rPr>
                    <w:t xml:space="preserve"> </w:t>
                  </w:r>
                  <w:r>
                    <w:rPr>
                      <w:sz w:val="26"/>
                      <w:szCs w:val="26"/>
                    </w:rPr>
                    <w:t>робота</w:t>
                  </w:r>
                </w:p>
              </w:tc>
              <w:tc>
                <w:tcPr>
                  <w:tcW w:w="1814" w:type="dxa"/>
                </w:tcPr>
                <w:p w14:paraId="1E94AFC0">
                  <w:pPr>
                    <w:pStyle w:val="15"/>
                    <w:spacing w:line="256" w:lineRule="exact"/>
                    <w:ind w:left="107"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pacing w:val="-2"/>
                      <w:sz w:val="26"/>
                      <w:szCs w:val="26"/>
                    </w:rPr>
                    <w:t xml:space="preserve">78 </w:t>
                  </w:r>
                  <w:r>
                    <w:rPr>
                      <w:sz w:val="26"/>
                      <w:szCs w:val="26"/>
                    </w:rPr>
                    <w:t>год.</w:t>
                  </w:r>
                </w:p>
              </w:tc>
              <w:tc>
                <w:tcPr>
                  <w:tcW w:w="1588" w:type="dxa"/>
                </w:tcPr>
                <w:p w14:paraId="49270E40">
                  <w:pPr>
                    <w:pStyle w:val="15"/>
                    <w:spacing w:line="256" w:lineRule="exact"/>
                    <w:ind w:left="104"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-</w:t>
                  </w:r>
                </w:p>
              </w:tc>
            </w:tr>
          </w:tbl>
          <w:p w14:paraId="35A53B76">
            <w:pPr>
              <w:pStyle w:val="15"/>
              <w:ind w:left="32"/>
              <w:rPr>
                <w:sz w:val="26"/>
                <w:szCs w:val="26"/>
              </w:rPr>
            </w:pPr>
          </w:p>
        </w:tc>
      </w:tr>
      <w:tr w14:paraId="4F3DEF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7" w:hRule="atLeast"/>
        </w:trPr>
        <w:tc>
          <w:tcPr>
            <w:tcW w:w="5245" w:type="dxa"/>
          </w:tcPr>
          <w:p w14:paraId="1A7AF1CE">
            <w:pPr>
              <w:pStyle w:val="15"/>
              <w:tabs>
                <w:tab w:val="left" w:pos="1458"/>
                <w:tab w:val="left" w:pos="2695"/>
                <w:tab w:val="left" w:pos="3770"/>
              </w:tabs>
              <w:spacing w:line="242" w:lineRule="auto"/>
              <w:ind w:left="105" w:right="102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Тематика (змістові модулі) навчальної дисципліни</w:t>
            </w:r>
          </w:p>
        </w:tc>
        <w:tc>
          <w:tcPr>
            <w:tcW w:w="5896" w:type="dxa"/>
          </w:tcPr>
          <w:p w14:paraId="614CB49D">
            <w:pPr>
              <w:jc w:val="center"/>
              <w:rPr>
                <w:rStyle w:val="16"/>
                <w:rFonts w:ascii="Times New Roman" w:hAnsi="Times New Roman" w:cs="Times New Roman"/>
                <w:b w:val="0"/>
                <w:bCs w:val="0"/>
                <w:i/>
                <w:iCs/>
                <w:sz w:val="28"/>
                <w:szCs w:val="28"/>
              </w:rPr>
            </w:pPr>
            <w:r>
              <w:rPr>
                <w:rStyle w:val="16"/>
                <w:rFonts w:ascii="Times New Roman" w:hAnsi="Times New Roman" w:cs="Times New Roman"/>
                <w:b w:val="0"/>
                <w:bCs w:val="0"/>
                <w:i/>
                <w:iCs/>
                <w:sz w:val="26"/>
                <w:szCs w:val="26"/>
              </w:rPr>
              <w:t xml:space="preserve">Змістовий модуль 1. </w:t>
            </w: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Теоретичні основи впровадження ігрових технологій у процес навчання іноземних мов учнів закладів загальної середньої освіти</w:t>
            </w:r>
          </w:p>
          <w:p w14:paraId="326058EA">
            <w:pPr>
              <w:ind w:left="138" w:right="74" w:firstLine="563"/>
              <w:jc w:val="both"/>
              <w:rPr>
                <w:rStyle w:val="16"/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Style w:val="16"/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 xml:space="preserve">Тема 1. </w:t>
            </w:r>
            <w:r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Загальна характеристика ігрових технологій навчання іноземних мов</w:t>
            </w:r>
            <w:r>
              <w:rPr>
                <w:rStyle w:val="16"/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.</w:t>
            </w:r>
          </w:p>
          <w:p w14:paraId="6EB21338">
            <w:pPr>
              <w:ind w:left="138" w:right="74" w:firstLine="563"/>
              <w:jc w:val="both"/>
              <w:rPr>
                <w:rStyle w:val="16"/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Style w:val="16"/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 xml:space="preserve">Тема 2. </w:t>
            </w:r>
            <w:r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Лінгводидактична гра та етапи її реалізації</w:t>
            </w:r>
            <w:r>
              <w:rPr>
                <w:rStyle w:val="16"/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.</w:t>
            </w:r>
          </w:p>
          <w:p w14:paraId="2FEA243F">
            <w:pPr>
              <w:ind w:left="138" w:right="74" w:firstLine="563"/>
              <w:jc w:val="both"/>
              <w:rPr>
                <w:rStyle w:val="16"/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Style w:val="16"/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 xml:space="preserve">Тема 3. </w:t>
            </w:r>
            <w:r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Класифікації ігор для навчання іноземних мов</w:t>
            </w:r>
            <w:r>
              <w:rPr>
                <w:rStyle w:val="16"/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.</w:t>
            </w:r>
          </w:p>
          <w:p w14:paraId="2F9EDE71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</w:pPr>
            <w:r>
              <w:rPr>
                <w:rStyle w:val="16"/>
                <w:rFonts w:ascii="Times New Roman" w:hAnsi="Times New Roman" w:cs="Times New Roman"/>
                <w:b w:val="0"/>
                <w:bCs w:val="0"/>
                <w:i/>
                <w:iCs/>
                <w:sz w:val="26"/>
                <w:szCs w:val="26"/>
              </w:rPr>
              <w:t xml:space="preserve">Змістовий модуль 2. </w:t>
            </w:r>
            <w:r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  <w:t>Методика використання ігрових технологій у навчанні іноземних мов</w:t>
            </w:r>
          </w:p>
          <w:p w14:paraId="6230261B">
            <w:pPr>
              <w:ind w:right="74"/>
              <w:jc w:val="center"/>
              <w:rPr>
                <w:rStyle w:val="16"/>
                <w:rFonts w:ascii="Times New Roman" w:hAnsi="Times New Roman" w:cs="Times New Roman"/>
                <w:b w:val="0"/>
                <w:bCs w:val="0"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  <w:t>учнів закладів загальної середньої освіти</w:t>
            </w:r>
          </w:p>
          <w:p w14:paraId="799B2095">
            <w:pPr>
              <w:ind w:right="74" w:firstLine="56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16"/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 xml:space="preserve">Тема 4. </w:t>
            </w:r>
            <w:r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Електронні засоби створення ігор для навчання іноземних мов учнів закладів загальної середньої освіти</w:t>
            </w:r>
            <w:r>
              <w:rPr>
                <w:rStyle w:val="16"/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.</w:t>
            </w:r>
          </w:p>
        </w:tc>
      </w:tr>
      <w:tr w14:paraId="4286C6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5245" w:type="dxa"/>
          </w:tcPr>
          <w:p w14:paraId="161B3AE8">
            <w:pPr>
              <w:pStyle w:val="15"/>
              <w:spacing w:line="242" w:lineRule="auto"/>
              <w:ind w:left="105"/>
              <w:rPr>
                <w:b/>
                <w:sz w:val="26"/>
              </w:rPr>
            </w:pPr>
            <w:r>
              <w:rPr>
                <w:b/>
                <w:sz w:val="26"/>
              </w:rPr>
              <w:t xml:space="preserve">Політика оцінювання (розподіл балів і </w:t>
            </w:r>
            <w:r>
              <w:rPr>
                <w:b/>
                <w:spacing w:val="-2"/>
                <w:sz w:val="26"/>
              </w:rPr>
              <w:t>критерії)</w:t>
            </w:r>
          </w:p>
        </w:tc>
        <w:tc>
          <w:tcPr>
            <w:tcW w:w="5896" w:type="dxa"/>
          </w:tcPr>
          <w:p w14:paraId="2DE7630D">
            <w:pPr>
              <w:ind w:right="74"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 вибіркової дисципліни «Ігрові технології навчання іноземних мов» передбачено лише лекційні заняття і підсумковий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контроль у формі заліку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  <w:p w14:paraId="1FB9839B">
            <w:pPr>
              <w:ind w:right="74"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Вивчення зазначеної дисципліни завершується виконанням студентами модульної контрольної роботи, під час якої перевіряється засвоєння студентами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всього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програмного матеріалу курсу, винесеного як на аудиторну, так і на самостійну позааудиторну роботу.</w:t>
            </w:r>
          </w:p>
          <w:p w14:paraId="096D17C2">
            <w:pPr>
              <w:ind w:right="74" w:firstLine="567"/>
              <w:jc w:val="both"/>
              <w:rPr>
                <w:rFonts w:ascii="Times New Roman" w:hAnsi="Times New Roman" w:cs="Times New Roman"/>
                <w:bCs/>
                <w:spacing w:val="-6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Cs/>
                <w:spacing w:val="-6"/>
                <w:sz w:val="26"/>
                <w:szCs w:val="26"/>
              </w:rPr>
              <w:t>Об’єкти контролю:</w:t>
            </w:r>
            <w:r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pacing w:val="-6"/>
                <w:sz w:val="26"/>
                <w:szCs w:val="26"/>
              </w:rPr>
              <w:t xml:space="preserve">рівень засвоєння теоретичних знань і сформованості професійно-методичних умінь у межах тематики дисципліни: </w:t>
            </w:r>
          </w:p>
          <w:p w14:paraId="18CBE7B9">
            <w:pPr>
              <w:tabs>
                <w:tab w:val="left" w:pos="669"/>
              </w:tabs>
              <w:ind w:right="74" w:firstLine="567"/>
              <w:jc w:val="both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теоретичні основи впровадження ігрових технологій у процес навчання іноземних мов і культур учнів закладів загальної середньої освіти</w:t>
            </w:r>
            <w:r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;</w:t>
            </w:r>
          </w:p>
          <w:p w14:paraId="33ED1CCB">
            <w:pPr>
              <w:tabs>
                <w:tab w:val="left" w:pos="669"/>
              </w:tabs>
              <w:ind w:right="74" w:firstLine="567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методика використання ігрових технології навчання іноземних мов і культур учнів закладів загальної середньої освіти.</w:t>
            </w:r>
          </w:p>
          <w:p w14:paraId="2DAF8B7B">
            <w:pPr>
              <w:pStyle w:val="15"/>
              <w:ind w:right="74" w:firstLine="563"/>
              <w:jc w:val="both"/>
              <w:rPr>
                <w:sz w:val="26"/>
                <w:szCs w:val="26"/>
              </w:rPr>
            </w:pPr>
            <w:r>
              <w:rPr>
                <w:rStyle w:val="16"/>
                <w:rFonts w:ascii="Times New Roman" w:hAnsi="Times New Roman"/>
                <w:b w:val="0"/>
                <w:bCs w:val="0"/>
                <w:sz w:val="26"/>
                <w:szCs w:val="26"/>
              </w:rPr>
              <w:t>Студенти, які мають семестровий рейтинговий бал з дисципліни 60 і вище, отримують оцінку «зараховано» і відповідну оцінку в шкалі ЄКТС без складання заліку. Студенти, які мають семестровий рейтинговий бал з дисципліни 59 і нижче, складають залік і в разі успішного складання їм виставляється оцінка «зараховано» в національній шкалі, а в шкалі ЄКТС – E та бал. Якщо студент під час заліку отримав оцінку «не зараховано», то йому у відомість обліку успішності виставляється оцінка «не зараховано» в національній шкалі, оцінка FX – у шкалі ЄКТС та його семестровий рейтинговий бал за дисципліну.</w:t>
            </w:r>
          </w:p>
        </w:tc>
      </w:tr>
      <w:tr w14:paraId="6EC42D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5245" w:type="dxa"/>
          </w:tcPr>
          <w:p w14:paraId="476D73AE">
            <w:pPr>
              <w:pStyle w:val="15"/>
              <w:tabs>
                <w:tab w:val="left" w:pos="2120"/>
                <w:tab w:val="left" w:pos="3972"/>
              </w:tabs>
              <w:spacing w:line="242" w:lineRule="auto"/>
              <w:ind w:left="105" w:right="100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Пререквізити (передумови вивчення дисципліни)</w:t>
            </w:r>
          </w:p>
        </w:tc>
        <w:tc>
          <w:tcPr>
            <w:tcW w:w="5896" w:type="dxa"/>
          </w:tcPr>
          <w:p w14:paraId="4CFBB10D">
            <w:pPr>
              <w:pStyle w:val="11"/>
              <w:ind w:right="74" w:firstLine="53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успішного освоєння дисципліни студенти повинні володіти знаннями в галузі психології, педагогіки, методики навчання іноземних мов, інформаційних технологій в освіті, що створює необхідну базу для вивчення курсу «Ігрові технології навчання іноземних мов» і мають високу ступінь кореляції з ними.</w:t>
            </w:r>
          </w:p>
        </w:tc>
      </w:tr>
      <w:tr w14:paraId="7644C1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 w:hRule="atLeast"/>
        </w:trPr>
        <w:tc>
          <w:tcPr>
            <w:tcW w:w="5245" w:type="dxa"/>
          </w:tcPr>
          <w:p w14:paraId="7714F874">
            <w:pPr>
              <w:pStyle w:val="15"/>
              <w:tabs>
                <w:tab w:val="left" w:pos="3032"/>
                <w:tab w:val="left" w:pos="3488"/>
              </w:tabs>
              <w:spacing w:line="242" w:lineRule="auto"/>
              <w:ind w:left="105" w:right="101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 xml:space="preserve">Навчально-методичне </w:t>
            </w:r>
            <w:r>
              <w:rPr>
                <w:b/>
                <w:spacing w:val="-10"/>
                <w:sz w:val="26"/>
              </w:rPr>
              <w:t xml:space="preserve">й </w:t>
            </w:r>
            <w:r>
              <w:rPr>
                <w:b/>
                <w:spacing w:val="-2"/>
                <w:sz w:val="26"/>
              </w:rPr>
              <w:t>інформаційне забезпечення</w:t>
            </w:r>
          </w:p>
        </w:tc>
        <w:tc>
          <w:tcPr>
            <w:tcW w:w="5896" w:type="dxa"/>
          </w:tcPr>
          <w:p w14:paraId="6992D72F">
            <w:pPr>
              <w:tabs>
                <w:tab w:val="left" w:pos="0"/>
                <w:tab w:val="left" w:pos="705"/>
              </w:tabs>
              <w:ind w:right="10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Основна література</w:t>
            </w:r>
          </w:p>
          <w:p w14:paraId="647BE064">
            <w:pPr>
              <w:pStyle w:val="14"/>
              <w:tabs>
                <w:tab w:val="left" w:pos="926"/>
              </w:tabs>
              <w:ind w:left="709" w:right="78" w:hanging="70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Берендєєв, С., Косенчук, Ю., &amp; Лисогор, Л. (2023). 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Сучасні підходи і технології Нової Української школи: компетентнісно орієнтовані завдання як засіб формування ключових компетентностей: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навч.-метод. посіб. Український інститут розвитку освіти.</w:t>
            </w:r>
          </w:p>
          <w:p w14:paraId="7F5C4779">
            <w:pPr>
              <w:shd w:val="clear" w:color="auto" w:fill="FFFFFF"/>
              <w:ind w:left="709" w:right="78" w:hanging="709"/>
              <w:jc w:val="both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Копосов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П. Г.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(2021).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i/>
                <w:iCs/>
                <w:sz w:val="26"/>
                <w:szCs w:val="26"/>
              </w:rPr>
              <w:t>Нова українська школа: дидактичні особливості організації навчально-ігрової діяльності учнів 1-2 класів: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i/>
                <w:iCs/>
                <w:sz w:val="26"/>
                <w:szCs w:val="26"/>
              </w:rPr>
              <w:t>навч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ально</w:t>
            </w:r>
            <w:r>
              <w:rPr>
                <w:rFonts w:ascii="Times New Roman" w:hAnsi="Times New Roman" w:eastAsia="Times New Roman" w:cs="Times New Roman"/>
                <w:i/>
                <w:iCs/>
                <w:sz w:val="26"/>
                <w:szCs w:val="26"/>
              </w:rPr>
              <w:t>-метод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ичний </w:t>
            </w:r>
            <w:r>
              <w:rPr>
                <w:rFonts w:ascii="Times New Roman" w:hAnsi="Times New Roman" w:eastAsia="Times New Roman" w:cs="Times New Roman"/>
                <w:i/>
                <w:iCs/>
                <w:sz w:val="26"/>
                <w:szCs w:val="26"/>
              </w:rPr>
              <w:t>посіб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ник.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Фабула.</w:t>
            </w:r>
          </w:p>
          <w:p w14:paraId="122EE36C">
            <w:pPr>
              <w:shd w:val="clear" w:color="auto" w:fill="FFFFFF"/>
              <w:ind w:left="709" w:right="78" w:hanging="709"/>
              <w:jc w:val="both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Лисогор, Л., Берендєєв, С., &amp; Косенчук, Ю. (2022). 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Використання електронних освітніх матеріалів у освітньому процесі: сучасні підходи і технології Нової української школи: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навч.-метод. посіб. Український інститут розвитку освіти.</w:t>
            </w:r>
          </w:p>
          <w:p w14:paraId="2BD76075">
            <w:pPr>
              <w:shd w:val="clear" w:color="auto" w:fill="FFFFFF"/>
              <w:ind w:left="709" w:right="78" w:hanging="709"/>
              <w:jc w:val="both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Паршикова, О. О. (2025). 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Комунікативно-ігрові технології раннього навчання іноземної (німецької) мови. Навчально-методичний посібник.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Видавничий центр КНЛУ.</w:t>
            </w:r>
          </w:p>
          <w:p w14:paraId="009C2127">
            <w:pPr>
              <w:shd w:val="clear" w:color="auto" w:fill="FFFFFF"/>
              <w:ind w:left="709" w:right="78" w:hanging="709"/>
              <w:jc w:val="both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Редько, В. Г. (Ред.). (2019). </w:t>
            </w:r>
            <w:r>
              <w:rPr>
                <w:rFonts w:ascii="Times New Roman" w:hAnsi="Times New Roman" w:eastAsia="Times New Roman" w:cs="Times New Roman"/>
                <w:i/>
                <w:iCs/>
                <w:sz w:val="26"/>
                <w:szCs w:val="26"/>
              </w:rPr>
              <w:t>Тенденції оновлення змісту навчання іноземних мов у закладах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i/>
                <w:iCs/>
                <w:sz w:val="26"/>
                <w:szCs w:val="26"/>
              </w:rPr>
              <w:t>вищої та загальної середньої освіти: виклики Нової української школи: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i/>
                <w:iCs/>
                <w:sz w:val="26"/>
                <w:szCs w:val="26"/>
              </w:rPr>
              <w:t>монографія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.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val="ru-RU"/>
              </w:rPr>
              <w:t>Мукачівський державний університет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00B094F0">
            <w:pPr>
              <w:shd w:val="clear" w:color="auto" w:fill="FFFFFF"/>
              <w:ind w:left="709" w:right="78" w:hanging="709"/>
              <w:jc w:val="both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Редько, В. Г. (Ред.). (2020). </w:t>
            </w:r>
            <w:r>
              <w:rPr>
                <w:rFonts w:ascii="Times New Roman" w:hAnsi="Times New Roman" w:eastAsia="Times New Roman" w:cs="Times New Roman"/>
                <w:i/>
                <w:iCs/>
                <w:sz w:val="26"/>
                <w:szCs w:val="26"/>
              </w:rPr>
              <w:t>Дидактичні</w:t>
            </w: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i/>
                <w:iCs/>
                <w:sz w:val="26"/>
                <w:szCs w:val="26"/>
              </w:rPr>
              <w:t>та методичні засади компетентнісно орієнтованого навчання іноземних мов у початковій школі: навчально-методичний посібник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КОНВІ ПРІНТ.</w:t>
            </w:r>
          </w:p>
          <w:p w14:paraId="114E5E68">
            <w:pPr>
              <w:shd w:val="clear" w:color="auto" w:fill="FFFFFF"/>
              <w:ind w:left="709" w:right="78" w:hanging="709"/>
              <w:jc w:val="both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Устименко, О. М. (2019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a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).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>Використання сервісів онлайн тестування для контролю чеськомовної комунікативної компетентності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Іноземні мови,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47–50.</w:t>
            </w:r>
          </w:p>
          <w:p w14:paraId="068888FF">
            <w:pPr>
              <w:shd w:val="clear" w:color="auto" w:fill="FFFFFF"/>
              <w:ind w:left="709" w:right="78" w:hanging="709"/>
              <w:jc w:val="both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Устименко, О. М. (2019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b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). Мобільний додаток «Plickers» для організації інтерактивного тестування та опитування на уроках іноземної мови. 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Іноземні мови, 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59–64.</w:t>
            </w:r>
          </w:p>
          <w:p w14:paraId="3EFC5539">
            <w:pPr>
              <w:ind w:left="709" w:right="78" w:hanging="709"/>
              <w:jc w:val="both"/>
              <w:rPr>
                <w:rStyle w:val="16"/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Style w:val="16"/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 xml:space="preserve">Федусенко , Ю. І. (2009). </w:t>
            </w:r>
            <w:r>
              <w:rPr>
                <w:rStyle w:val="16"/>
                <w:rFonts w:ascii="Times New Roman" w:hAnsi="Times New Roman" w:cs="Times New Roman"/>
                <w:b w:val="0"/>
                <w:bCs w:val="0"/>
                <w:i/>
                <w:iCs/>
                <w:sz w:val="26"/>
                <w:szCs w:val="26"/>
              </w:rPr>
              <w:t>Дидактична гра як засіб навчання іноземних мов молодших школярів</w:t>
            </w:r>
            <w:r>
              <w:rPr>
                <w:rStyle w:val="16"/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 xml:space="preserve"> [Дис. канд. пед. наук, Інститут педагогіки АПН України]. </w:t>
            </w:r>
          </w:p>
          <w:p w14:paraId="715E3ED6">
            <w:pPr>
              <w:shd w:val="clear" w:color="auto" w:fill="FFFFFF"/>
              <w:ind w:left="709" w:right="78" w:hanging="709"/>
              <w:jc w:val="both"/>
              <w:textAlignment w:val="baseline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Kapp, K. M. (2012). 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-US"/>
              </w:rPr>
              <w:t>The gamificaton of learning and instruction: game-based methods and strategies for training and education.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John Wiley &amp; Sons, Inc.</w:t>
            </w:r>
          </w:p>
          <w:p w14:paraId="479D9911">
            <w:pPr>
              <w:ind w:left="709" w:right="78" w:hanging="709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Paes, T.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, &amp;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 Eberhart, J. (2019)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.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i/>
                <w:iCs/>
                <w:sz w:val="26"/>
                <w:szCs w:val="26"/>
              </w:rPr>
              <w:t>Developing life skills through play. Part of the Cambridge Papers in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i/>
                <w:iCs/>
                <w:sz w:val="26"/>
                <w:szCs w:val="26"/>
              </w:rPr>
              <w:t xml:space="preserve">ELT series.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Cambridge University Press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.</w:t>
            </w:r>
          </w:p>
          <w:p w14:paraId="76578A34">
            <w:pPr>
              <w:tabs>
                <w:tab w:val="left" w:pos="421"/>
                <w:tab w:val="left" w:pos="1002"/>
              </w:tabs>
              <w:ind w:left="563" w:right="78" w:hanging="563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Siagianto, B. E., Thresia, F., Faliyanti, E. &amp; Qomar,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A.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H. (2024). 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Unleashing the 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-US"/>
              </w:rPr>
              <w:t>p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ower of 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-US"/>
              </w:rPr>
              <w:t>p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lay: Gamification and 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-US"/>
              </w:rPr>
              <w:t>e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dutainment for EFL 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-US"/>
              </w:rPr>
              <w:t>l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earners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Pen Fighters.</w:t>
            </w:r>
          </w:p>
          <w:p w14:paraId="062D2833">
            <w:pPr>
              <w:pStyle w:val="2"/>
              <w:tabs>
                <w:tab w:val="left" w:pos="0"/>
              </w:tabs>
              <w:spacing w:before="5"/>
              <w:ind w:left="0" w:right="78"/>
              <w:jc w:val="center"/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>Додаткова література</w:t>
            </w:r>
          </w:p>
          <w:p w14:paraId="76F73363">
            <w:pPr>
              <w:pStyle w:val="14"/>
              <w:tabs>
                <w:tab w:val="left" w:pos="926"/>
              </w:tabs>
              <w:ind w:left="709" w:right="78" w:hanging="70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Майєр, Н. В., &amp; Устименко, О. М. (2018). 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Практикум з методики використання сучасних засобів,</w:t>
            </w:r>
            <w:r>
              <w:rPr>
                <w:rFonts w:ascii="Times New Roman" w:hAnsi="Times New Roman" w:cs="Times New Roman"/>
                <w:i/>
                <w:iCs/>
                <w:spacing w:val="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методів</w:t>
            </w:r>
            <w:r>
              <w:rPr>
                <w:rFonts w:ascii="Times New Roman" w:hAnsi="Times New Roman" w:cs="Times New Roman"/>
                <w:i/>
                <w:iCs/>
                <w:spacing w:val="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і</w:t>
            </w:r>
            <w:r>
              <w:rPr>
                <w:rFonts w:ascii="Times New Roman" w:hAnsi="Times New Roman" w:cs="Times New Roman"/>
                <w:i/>
                <w:iCs/>
                <w:spacing w:val="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технологій</w:t>
            </w:r>
            <w:r>
              <w:rPr>
                <w:rFonts w:ascii="Times New Roman" w:hAnsi="Times New Roman" w:cs="Times New Roman"/>
                <w:i/>
                <w:iCs/>
                <w:spacing w:val="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навчання</w:t>
            </w:r>
            <w:r>
              <w:rPr>
                <w:rFonts w:ascii="Times New Roman" w:hAnsi="Times New Roman" w:cs="Times New Roman"/>
                <w:i/>
                <w:iCs/>
                <w:spacing w:val="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іноземних</w:t>
            </w:r>
            <w:r>
              <w:rPr>
                <w:rFonts w:ascii="Times New Roman" w:hAnsi="Times New Roman" w:cs="Times New Roman"/>
                <w:i/>
                <w:iCs/>
                <w:spacing w:val="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мов</w:t>
            </w:r>
            <w:r>
              <w:rPr>
                <w:rFonts w:ascii="Times New Roman" w:hAnsi="Times New Roman" w:cs="Times New Roman"/>
                <w:i/>
                <w:iCs/>
                <w:spacing w:val="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і</w:t>
            </w:r>
            <w:r>
              <w:rPr>
                <w:rFonts w:ascii="Times New Roman" w:hAnsi="Times New Roman" w:cs="Times New Roman"/>
                <w:i/>
                <w:iCs/>
                <w:spacing w:val="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культур:</w:t>
            </w:r>
            <w:r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навч.-метод.</w:t>
            </w:r>
            <w:r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посіб. для </w:t>
            </w:r>
            <w:r>
              <w:rPr>
                <w:rFonts w:ascii="Times New Roman" w:hAnsi="Times New Roman" w:cs="Times New Roman"/>
                <w:spacing w:val="-57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самостійної</w:t>
            </w:r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роботи студентів</w:t>
            </w:r>
            <w:r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магістратури.</w:t>
            </w:r>
            <w:r>
              <w:rPr>
                <w:rFonts w:ascii="Times New Roman" w:hAnsi="Times New Roman" w:cs="Times New Roman"/>
                <w:spacing w:val="2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Ліра-К.</w:t>
            </w:r>
          </w:p>
          <w:p w14:paraId="047B5920">
            <w:pPr>
              <w:ind w:left="709" w:right="78" w:hanging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Майєр, Н. В., Устименко, О. М.,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&amp;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Борецька, Г. Е. (2020).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  <w:lang w:eastAsia="uk-UA"/>
              </w:rPr>
              <w:t>Практикум з формування тестової компетентності майбутніх учителів іноземних мов і культур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/>
              </w:rPr>
              <w:t>. Ліра-К.</w:t>
            </w:r>
          </w:p>
          <w:p w14:paraId="0B16D35B">
            <w:pPr>
              <w:pStyle w:val="14"/>
              <w:tabs>
                <w:tab w:val="left" w:pos="926"/>
              </w:tabs>
              <w:ind w:left="709" w:right="78" w:hanging="70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Наволокова, Н. П. (2009). 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Енциклопедія педагогічних технологій та інновацій.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Основа.</w:t>
            </w:r>
          </w:p>
          <w:p w14:paraId="05B6FC6A">
            <w:pPr>
              <w:shd w:val="clear" w:color="auto" w:fill="FFFFFF"/>
              <w:ind w:left="709" w:right="78" w:hanging="709"/>
              <w:jc w:val="both"/>
              <w:textAlignment w:val="baseline"/>
              <w:rPr>
                <w:rStyle w:val="22"/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Style w:val="16"/>
                <w:rFonts w:ascii="Times New Roman" w:hAnsi="Times New Roman" w:cs="Times New Roman"/>
                <w:b w:val="0"/>
                <w:bCs w:val="0"/>
                <w:sz w:val="26"/>
                <w:szCs w:val="26"/>
                <w:lang w:val="en-US"/>
              </w:rPr>
              <w:t>Bakhmat,</w:t>
            </w:r>
            <w:r>
              <w:rPr>
                <w:rStyle w:val="16"/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 xml:space="preserve"> </w:t>
            </w:r>
            <w:r>
              <w:rPr>
                <w:rStyle w:val="16"/>
                <w:rFonts w:ascii="Times New Roman" w:hAnsi="Times New Roman" w:cs="Times New Roman"/>
                <w:b w:val="0"/>
                <w:bCs w:val="0"/>
                <w:sz w:val="26"/>
                <w:szCs w:val="26"/>
                <w:lang w:val="en-US"/>
              </w:rPr>
              <w:t>N.,</w:t>
            </w:r>
            <w:r>
              <w:rPr>
                <w:rStyle w:val="16"/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Ustymenko, O., </w:t>
            </w:r>
            <w:r>
              <w:rPr>
                <w:rStyle w:val="16"/>
                <w:rFonts w:ascii="Times New Roman" w:hAnsi="Times New Roman" w:cs="Times New Roman"/>
                <w:b w:val="0"/>
                <w:bCs w:val="0"/>
                <w:sz w:val="26"/>
                <w:szCs w:val="26"/>
                <w:lang w:val="en-US"/>
              </w:rPr>
              <w:t>Nikolenko, L., Chernova, T., &amp; Olyanich, V. (2023).</w:t>
            </w:r>
            <w:r>
              <w:rPr>
                <w:rStyle w:val="16"/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>
              <w:rPr>
                <w:rStyle w:val="22"/>
                <w:rFonts w:ascii="Times New Roman" w:hAnsi="Times New Roman" w:cs="Times New Roman"/>
                <w:sz w:val="26"/>
                <w:szCs w:val="26"/>
                <w:lang w:val="en-US"/>
              </w:rPr>
              <w:t>Theoretical and methodological analysis of modern educational phenomena: gamification, digitalization.</w:t>
            </w:r>
            <w:r>
              <w:rPr>
                <w:rStyle w:val="16"/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>
              <w:rPr>
                <w:rStyle w:val="22"/>
                <w:rFonts w:ascii="Times New Roman" w:hAnsi="Times New Roman" w:cs="Times New Roman"/>
                <w:i/>
                <w:iCs/>
                <w:sz w:val="26"/>
                <w:szCs w:val="26"/>
                <w:lang w:val="en-US"/>
              </w:rPr>
              <w:t>Revista on line de Política e Gestão Educacional,</w:t>
            </w:r>
            <w:r>
              <w:rPr>
                <w:rStyle w:val="22"/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>
              <w:rPr>
                <w:rStyle w:val="22"/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27</w:t>
            </w:r>
            <w:r>
              <w:rPr>
                <w:rStyle w:val="22"/>
                <w:rFonts w:ascii="Times New Roman" w:hAnsi="Times New Roman" w:cs="Times New Roman"/>
                <w:sz w:val="26"/>
                <w:szCs w:val="26"/>
              </w:rPr>
              <w:t>(2)</w:t>
            </w:r>
            <w:r>
              <w:rPr>
                <w:rStyle w:val="22"/>
                <w:rFonts w:ascii="Times New Roman" w:hAnsi="Times New Roman" w:cs="Times New Roman"/>
                <w:sz w:val="26"/>
                <w:szCs w:val="26"/>
                <w:lang w:val="en-US"/>
              </w:rPr>
              <w:t>, e023037.</w:t>
            </w:r>
          </w:p>
          <w:p w14:paraId="57FE2461">
            <w:pPr>
              <w:shd w:val="clear" w:color="auto" w:fill="FFFFFF"/>
              <w:ind w:left="709" w:right="78" w:hanging="709"/>
              <w:jc w:val="both"/>
              <w:textAlignment w:val="baseline"/>
              <w:rPr>
                <w:rStyle w:val="22"/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Style w:val="22"/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Hadfield, J. (2003). </w:t>
            </w:r>
            <w:r>
              <w:rPr>
                <w:rStyle w:val="22"/>
                <w:rFonts w:ascii="Times New Roman" w:hAnsi="Times New Roman" w:cs="Times New Roman"/>
                <w:i/>
                <w:iCs/>
                <w:sz w:val="26"/>
                <w:szCs w:val="26"/>
                <w:lang w:val="en-US"/>
              </w:rPr>
              <w:t>Advanced communication games.</w:t>
            </w:r>
            <w:r>
              <w:rPr>
                <w:rStyle w:val="22"/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Pearson Education Ltd.</w:t>
            </w:r>
          </w:p>
          <w:p w14:paraId="4BC68E14">
            <w:pPr>
              <w:shd w:val="clear" w:color="auto" w:fill="FFFFFF"/>
              <w:ind w:left="709" w:right="78" w:hanging="709"/>
              <w:jc w:val="both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22"/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Hadfield, J. (2005). </w:t>
            </w:r>
            <w:r>
              <w:rPr>
                <w:rStyle w:val="22"/>
                <w:rFonts w:ascii="Times New Roman" w:hAnsi="Times New Roman" w:cs="Times New Roman"/>
                <w:i/>
                <w:iCs/>
                <w:sz w:val="26"/>
                <w:szCs w:val="26"/>
                <w:lang w:val="en-US"/>
              </w:rPr>
              <w:t>Intermediate communication games.</w:t>
            </w:r>
            <w:r>
              <w:rPr>
                <w:rStyle w:val="22"/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Pearson Education Ltd.</w:t>
            </w:r>
          </w:p>
          <w:p w14:paraId="70C71352">
            <w:pPr>
              <w:pStyle w:val="15"/>
              <w:tabs>
                <w:tab w:val="left" w:pos="421"/>
              </w:tabs>
              <w:ind w:left="563" w:right="78" w:hanging="563"/>
              <w:jc w:val="both"/>
              <w:rPr>
                <w:sz w:val="26"/>
                <w:szCs w:val="26"/>
              </w:rPr>
            </w:pPr>
            <w:r>
              <w:rPr>
                <w:rStyle w:val="22"/>
                <w:sz w:val="26"/>
                <w:szCs w:val="26"/>
                <w:lang w:val="en-US"/>
              </w:rPr>
              <w:t xml:space="preserve">Hadfield, J. (2010). </w:t>
            </w:r>
            <w:r>
              <w:rPr>
                <w:rStyle w:val="22"/>
                <w:i/>
                <w:iCs/>
                <w:sz w:val="26"/>
                <w:szCs w:val="26"/>
                <w:lang w:val="en-US"/>
              </w:rPr>
              <w:t>Elementary communication games.</w:t>
            </w:r>
            <w:r>
              <w:rPr>
                <w:rStyle w:val="22"/>
                <w:sz w:val="26"/>
                <w:szCs w:val="26"/>
                <w:lang w:val="en-US"/>
              </w:rPr>
              <w:t xml:space="preserve"> Pearson Education Ltd.</w:t>
            </w:r>
          </w:p>
          <w:p w14:paraId="79C84135">
            <w:pPr>
              <w:tabs>
                <w:tab w:val="left" w:pos="2552"/>
              </w:tabs>
              <w:ind w:right="7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Інтернет-ресурси:</w:t>
            </w:r>
          </w:p>
          <w:p w14:paraId="6AED0A55">
            <w:pPr>
              <w:pStyle w:val="14"/>
              <w:numPr>
                <w:ilvl w:val="0"/>
                <w:numId w:val="1"/>
              </w:numPr>
              <w:adjustRightInd w:val="0"/>
              <w:spacing w:before="0" w:after="160" w:line="259" w:lineRule="auto"/>
              <w:ind w:left="427" w:right="0" w:hanging="283"/>
              <w:contextualSpacing/>
              <w:rPr>
                <w:rFonts w:ascii="Times New Roman" w:hAnsi="Times New Roman" w:cs="Times New Roman"/>
                <w:sz w:val="26"/>
                <w:szCs w:val="26"/>
                <w:lang w:val="fr-C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fr-CA"/>
              </w:rPr>
              <w:t xml:space="preserve">https://quizlet.com/ua </w:t>
            </w:r>
          </w:p>
          <w:p w14:paraId="22B254AB">
            <w:pPr>
              <w:pStyle w:val="14"/>
              <w:numPr>
                <w:ilvl w:val="0"/>
                <w:numId w:val="1"/>
              </w:numPr>
              <w:adjustRightInd w:val="0"/>
              <w:spacing w:before="0" w:after="160" w:line="259" w:lineRule="auto"/>
              <w:ind w:left="427" w:right="0" w:hanging="283"/>
              <w:contextualSpacing/>
              <w:rPr>
                <w:rFonts w:ascii="Times New Roman" w:hAnsi="Times New Roman" w:cs="Times New Roman"/>
                <w:sz w:val="26"/>
                <w:szCs w:val="26"/>
                <w:lang w:val="fr-C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fr-CA"/>
              </w:rPr>
              <w:t xml:space="preserve">https://wordwall.net </w:t>
            </w:r>
          </w:p>
          <w:p w14:paraId="2E66EC47">
            <w:pPr>
              <w:pStyle w:val="14"/>
              <w:numPr>
                <w:ilvl w:val="0"/>
                <w:numId w:val="1"/>
              </w:numPr>
              <w:adjustRightInd w:val="0"/>
              <w:spacing w:before="0" w:after="160" w:line="259" w:lineRule="auto"/>
              <w:ind w:left="427" w:right="0" w:hanging="283"/>
              <w:contextualSpacing/>
              <w:rPr>
                <w:rFonts w:ascii="Times New Roman" w:hAnsi="Times New Roman" w:cs="Times New Roman"/>
                <w:sz w:val="26"/>
                <w:szCs w:val="26"/>
                <w:lang w:val="fr-C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fr-CA"/>
              </w:rPr>
              <w:t xml:space="preserve">https://www.educaplay.com </w:t>
            </w:r>
          </w:p>
          <w:p w14:paraId="3D83368F">
            <w:pPr>
              <w:pStyle w:val="14"/>
              <w:numPr>
                <w:ilvl w:val="0"/>
                <w:numId w:val="1"/>
              </w:numPr>
              <w:adjustRightInd w:val="0"/>
              <w:spacing w:before="0" w:after="160" w:line="259" w:lineRule="auto"/>
              <w:ind w:left="427" w:right="0" w:hanging="283"/>
              <w:contextualSpacing/>
              <w:rPr>
                <w:rFonts w:ascii="Times New Roman" w:hAnsi="Times New Roman" w:cs="Times New Roman"/>
                <w:sz w:val="26"/>
                <w:szCs w:val="26"/>
                <w:lang w:val="fr-C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fr-CA"/>
              </w:rPr>
              <w:t>https://www.baamboozle.com</w:t>
            </w:r>
          </w:p>
          <w:p w14:paraId="6DD0F2D3">
            <w:pPr>
              <w:pStyle w:val="14"/>
              <w:numPr>
                <w:ilvl w:val="0"/>
                <w:numId w:val="1"/>
              </w:numPr>
              <w:adjustRightInd w:val="0"/>
              <w:spacing w:before="0" w:after="160" w:line="259" w:lineRule="auto"/>
              <w:ind w:left="427" w:right="0" w:hanging="283"/>
              <w:contextualSpacing/>
              <w:rPr>
                <w:rFonts w:ascii="Times New Roman" w:hAnsi="Times New Roman" w:cs="Times New Roman"/>
                <w:sz w:val="26"/>
                <w:szCs w:val="26"/>
                <w:lang w:val="fr-C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fr-CA"/>
              </w:rPr>
              <w:t xml:space="preserve">https://learningapps.org </w:t>
            </w:r>
          </w:p>
          <w:p w14:paraId="0400718E">
            <w:pPr>
              <w:pStyle w:val="14"/>
              <w:numPr>
                <w:ilvl w:val="0"/>
                <w:numId w:val="1"/>
              </w:numPr>
              <w:adjustRightInd w:val="0"/>
              <w:spacing w:before="0" w:after="160" w:line="259" w:lineRule="auto"/>
              <w:ind w:left="427" w:right="0" w:hanging="283"/>
              <w:contextualSpacing/>
              <w:rPr>
                <w:rFonts w:ascii="Times New Roman" w:hAnsi="Times New Roman" w:cs="Times New Roman"/>
                <w:sz w:val="26"/>
                <w:szCs w:val="26"/>
                <w:lang w:val="fr-C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fr-CA"/>
              </w:rPr>
              <w:t>https://www.flippity.net</w:t>
            </w:r>
          </w:p>
          <w:p w14:paraId="20111374">
            <w:pPr>
              <w:pStyle w:val="14"/>
              <w:numPr>
                <w:ilvl w:val="0"/>
                <w:numId w:val="1"/>
              </w:numPr>
              <w:adjustRightInd w:val="0"/>
              <w:spacing w:before="0" w:after="160" w:line="259" w:lineRule="auto"/>
              <w:ind w:left="427" w:right="0" w:hanging="283"/>
              <w:contextualSpacing/>
              <w:rPr>
                <w:rFonts w:ascii="Times New Roman" w:hAnsi="Times New Roman" w:cs="Times New Roman"/>
                <w:sz w:val="26"/>
                <w:szCs w:val="26"/>
                <w:lang w:val="fr-C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fr-CA"/>
              </w:rPr>
              <w:t xml:space="preserve">https://genially.com </w:t>
            </w:r>
          </w:p>
          <w:p w14:paraId="4A240BD4">
            <w:pPr>
              <w:pStyle w:val="14"/>
              <w:numPr>
                <w:ilvl w:val="0"/>
                <w:numId w:val="1"/>
              </w:numPr>
              <w:adjustRightInd w:val="0"/>
              <w:spacing w:before="0" w:after="160" w:line="259" w:lineRule="auto"/>
              <w:ind w:left="427" w:right="0" w:hanging="283"/>
              <w:contextualSpacing/>
              <w:rPr>
                <w:rFonts w:ascii="Times New Roman" w:hAnsi="Times New Roman" w:cs="Times New Roman"/>
                <w:sz w:val="26"/>
                <w:szCs w:val="26"/>
                <w:lang w:val="fr-C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fr-CA"/>
              </w:rPr>
              <w:t>https://www.blooket.com</w:t>
            </w:r>
          </w:p>
          <w:p w14:paraId="63E690D1">
            <w:pPr>
              <w:pStyle w:val="14"/>
              <w:numPr>
                <w:ilvl w:val="0"/>
                <w:numId w:val="1"/>
              </w:numPr>
              <w:adjustRightInd w:val="0"/>
              <w:spacing w:before="0" w:after="160" w:line="259" w:lineRule="auto"/>
              <w:ind w:left="427" w:right="0" w:hanging="283"/>
              <w:contextualSpacing/>
              <w:rPr>
                <w:rFonts w:ascii="Times New Roman" w:hAnsi="Times New Roman" w:cs="Times New Roman"/>
                <w:sz w:val="26"/>
                <w:szCs w:val="26"/>
                <w:lang w:val="fr-C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fr-CA"/>
              </w:rPr>
              <w:t>https://app.wizer.me</w:t>
            </w:r>
          </w:p>
          <w:p w14:paraId="1F4E82BC">
            <w:pPr>
              <w:pStyle w:val="14"/>
              <w:numPr>
                <w:ilvl w:val="0"/>
                <w:numId w:val="1"/>
              </w:numPr>
              <w:adjustRightInd w:val="0"/>
              <w:spacing w:before="0" w:after="160" w:line="259" w:lineRule="auto"/>
              <w:ind w:left="427" w:right="0" w:hanging="283"/>
              <w:contextualSpacing/>
              <w:rPr>
                <w:rFonts w:ascii="Times New Roman" w:hAnsi="Times New Roman" w:cs="Times New Roman"/>
                <w:sz w:val="26"/>
                <w:szCs w:val="26"/>
                <w:lang w:val="fr-C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fr-CA"/>
              </w:rPr>
              <w:t xml:space="preserve">https://kahoot.it </w:t>
            </w:r>
          </w:p>
          <w:p w14:paraId="21FA33DA">
            <w:pPr>
              <w:pStyle w:val="14"/>
              <w:numPr>
                <w:ilvl w:val="0"/>
                <w:numId w:val="1"/>
              </w:numPr>
              <w:adjustRightInd w:val="0"/>
              <w:spacing w:before="0" w:after="160" w:line="259" w:lineRule="auto"/>
              <w:ind w:left="427" w:right="0" w:hanging="283"/>
              <w:contextualSpacing/>
              <w:rPr>
                <w:rFonts w:ascii="Times New Roman" w:hAnsi="Times New Roman" w:cs="Times New Roman"/>
                <w:sz w:val="26"/>
                <w:szCs w:val="26"/>
                <w:lang w:val="fr-C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fr-CA"/>
              </w:rPr>
              <w:t>https://quizizz.com</w:t>
            </w:r>
          </w:p>
          <w:p w14:paraId="16A3E599">
            <w:pPr>
              <w:pStyle w:val="14"/>
              <w:numPr>
                <w:ilvl w:val="0"/>
                <w:numId w:val="1"/>
              </w:numPr>
              <w:adjustRightInd w:val="0"/>
              <w:spacing w:before="0" w:after="160" w:line="259" w:lineRule="auto"/>
              <w:ind w:left="427" w:right="0" w:hanging="283"/>
              <w:contextualSpacing/>
              <w:rPr>
                <w:rFonts w:ascii="Times New Roman" w:hAnsi="Times New Roman" w:cs="Times New Roman"/>
                <w:sz w:val="26"/>
                <w:szCs w:val="26"/>
                <w:lang w:val="fr-C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fr-CA"/>
              </w:rPr>
              <w:t>https://www.quizalize.com</w:t>
            </w:r>
          </w:p>
          <w:p w14:paraId="28ABE94A">
            <w:pPr>
              <w:pStyle w:val="14"/>
              <w:numPr>
                <w:ilvl w:val="0"/>
                <w:numId w:val="1"/>
              </w:numPr>
              <w:adjustRightInd w:val="0"/>
              <w:spacing w:before="0" w:after="160" w:line="259" w:lineRule="auto"/>
              <w:ind w:left="427" w:right="0" w:hanging="283"/>
              <w:contextualSpacing/>
              <w:rPr>
                <w:rFonts w:ascii="Times New Roman" w:hAnsi="Times New Roman" w:cs="Times New Roman"/>
                <w:sz w:val="26"/>
                <w:szCs w:val="26"/>
                <w:lang w:val="fr-C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fr-CA"/>
              </w:rPr>
              <w:t>https://edpuzzle.com</w:t>
            </w:r>
          </w:p>
          <w:p w14:paraId="50507206">
            <w:pPr>
              <w:pStyle w:val="14"/>
              <w:numPr>
                <w:ilvl w:val="0"/>
                <w:numId w:val="1"/>
              </w:numPr>
              <w:autoSpaceDE/>
              <w:autoSpaceDN/>
              <w:spacing w:before="0"/>
              <w:ind w:left="427" w:right="74" w:hanging="283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https://www.gibbly.co</w:t>
            </w:r>
          </w:p>
          <w:p w14:paraId="7CBFDDE3">
            <w:pPr>
              <w:pStyle w:val="15"/>
              <w:tabs>
                <w:tab w:val="left" w:pos="421"/>
              </w:tabs>
              <w:ind w:left="563" w:right="74" w:hanging="56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Додаткові ресурси</w:t>
            </w:r>
          </w:p>
          <w:p w14:paraId="3A17DB13">
            <w:pPr>
              <w:pStyle w:val="14"/>
              <w:numPr>
                <w:ilvl w:val="0"/>
                <w:numId w:val="2"/>
              </w:numPr>
              <w:tabs>
                <w:tab w:val="left" w:pos="464"/>
              </w:tabs>
              <w:autoSpaceDE/>
              <w:autoSpaceDN/>
              <w:spacing w:before="0"/>
              <w:ind w:left="284" w:right="108" w:hanging="140"/>
              <w:rPr>
                <w:rFonts w:ascii="Times New Roman" w:hAnsi="Times New Roman" w:eastAsia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Електронний навчальний курс: Устименко О. М.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Ігрові технології навчання іноземних мов. – Режим доступу: </w:t>
            </w:r>
            <w:r>
              <w:rPr>
                <w:rFonts w:ascii="Times New Roman" w:hAnsi="Times New Roman" w:eastAsia="Times New Roman" w:cs="Times New Roman"/>
                <w:bCs/>
                <w:sz w:val="26"/>
                <w:szCs w:val="26"/>
                <w:lang w:eastAsia="ru-RU"/>
              </w:rPr>
              <w:t>https://m.knlu.edu.ua/course/view.php?id=1747.</w:t>
            </w:r>
          </w:p>
          <w:p w14:paraId="560768E1">
            <w:pPr>
              <w:pStyle w:val="14"/>
              <w:numPr>
                <w:ilvl w:val="0"/>
                <w:numId w:val="2"/>
              </w:numPr>
              <w:tabs>
                <w:tab w:val="left" w:pos="464"/>
              </w:tabs>
              <w:autoSpaceDE/>
              <w:autoSpaceDN/>
              <w:spacing w:before="0"/>
              <w:ind w:left="284" w:right="108" w:hanging="14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111111"/>
                <w:sz w:val="26"/>
                <w:szCs w:val="26"/>
                <w:shd w:val="clear" w:color="auto" w:fill="FBFBF3"/>
                <w:lang w:eastAsia="ru-RU"/>
              </w:rPr>
              <w:t>Науково-методичний журнал «Іноземні мови»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eastAsia="Times New Roman" w:cs="Times New Roman"/>
                <w:bCs/>
                <w:sz w:val="26"/>
                <w:szCs w:val="26"/>
                <w:lang w:eastAsia="ru-RU"/>
              </w:rPr>
              <w:t xml:space="preserve"> – Режим доступу: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Cs/>
                <w:sz w:val="26"/>
                <w:szCs w:val="26"/>
                <w:lang w:eastAsia="ru-RU"/>
              </w:rPr>
              <w:t>http://fl.knlu.edu.ua.</w:t>
            </w:r>
          </w:p>
          <w:p w14:paraId="7A8C5FD1">
            <w:pPr>
              <w:pStyle w:val="14"/>
              <w:numPr>
                <w:ilvl w:val="0"/>
                <w:numId w:val="2"/>
              </w:numPr>
              <w:tabs>
                <w:tab w:val="left" w:pos="464"/>
              </w:tabs>
              <w:autoSpaceDE/>
              <w:autoSpaceDN/>
              <w:spacing w:before="0"/>
              <w:ind w:left="284" w:right="108" w:hanging="14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shd w:val="clear" w:color="auto" w:fill="FFFFFF"/>
                <w:lang w:eastAsia="ru-RU"/>
              </w:rPr>
              <w:t>Вісник КНЛУ. Серія «Педагогіка та психологія»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shd w:val="clear" w:color="auto" w:fill="FFFFFF"/>
                <w:lang w:eastAsia="ru-RU"/>
              </w:rPr>
              <w:t xml:space="preserve"> –</w:t>
            </w:r>
            <w:r>
              <w:rPr>
                <w:rFonts w:ascii="Times New Roman" w:hAnsi="Times New Roman" w:eastAsia="Times New Roman" w:cs="Times New Roman"/>
                <w:bCs/>
                <w:sz w:val="26"/>
                <w:szCs w:val="26"/>
                <w:lang w:eastAsia="ru-RU"/>
              </w:rPr>
              <w:t xml:space="preserve"> Режим доступу: http://visnyk-pedagogy.knlu.edu.ua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>.</w:t>
            </w:r>
          </w:p>
        </w:tc>
      </w:tr>
      <w:tr w14:paraId="306961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29" w:hRule="atLeast"/>
        </w:trPr>
        <w:tc>
          <w:tcPr>
            <w:tcW w:w="5245" w:type="dxa"/>
          </w:tcPr>
          <w:p w14:paraId="46C0069E">
            <w:pPr>
              <w:pStyle w:val="15"/>
              <w:tabs>
                <w:tab w:val="left" w:pos="1352"/>
                <w:tab w:val="left" w:pos="1856"/>
                <w:tab w:val="left" w:pos="3209"/>
                <w:tab w:val="left" w:pos="4831"/>
              </w:tabs>
              <w:ind w:left="105" w:right="102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 xml:space="preserve">Форми </w:t>
            </w:r>
            <w:r>
              <w:rPr>
                <w:b/>
                <w:spacing w:val="-10"/>
                <w:sz w:val="26"/>
              </w:rPr>
              <w:t xml:space="preserve">і </w:t>
            </w:r>
            <w:r>
              <w:rPr>
                <w:b/>
                <w:spacing w:val="-2"/>
                <w:sz w:val="26"/>
              </w:rPr>
              <w:t xml:space="preserve">способи поточного </w:t>
            </w:r>
            <w:r>
              <w:rPr>
                <w:b/>
                <w:spacing w:val="-6"/>
                <w:sz w:val="26"/>
              </w:rPr>
              <w:t xml:space="preserve">та </w:t>
            </w:r>
            <w:r>
              <w:rPr>
                <w:b/>
                <w:sz w:val="26"/>
              </w:rPr>
              <w:t>семестрового контролю</w:t>
            </w:r>
          </w:p>
        </w:tc>
        <w:tc>
          <w:tcPr>
            <w:tcW w:w="5896" w:type="dxa"/>
          </w:tcPr>
          <w:p w14:paraId="0BB63490">
            <w:pPr>
              <w:ind w:left="2" w:right="78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Вивчення дисципліни завершується виконанням модульної контрольної роботи, під час якої перевіряється засвоєння студентами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всього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програмного матеріалу курсу.</w:t>
            </w:r>
          </w:p>
          <w:p w14:paraId="17631180">
            <w:pPr>
              <w:ind w:left="2" w:right="78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Модульна контрольна робота оцінюється у 100-бальній шкалі. Для цього кожне питання модульної контрольної роботи оцінюється у 4-бальній шкалі («відмінно» («5»), «добре» («4»), «задовільно» («3»), «незадовільно» («2»)). Неявка на модульну контрольну роботу – 0 балів.</w:t>
            </w:r>
          </w:p>
          <w:p w14:paraId="7A29F1D5">
            <w:pPr>
              <w:ind w:left="2" w:right="78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Потім встановлюється середнє арифметичне з цих оцінок з округленням до десятої частки. Середньоарифметичне значення помножується на коефіцієнт 10. Результат є семестровим </w:t>
            </w:r>
            <w:r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рейтинговим балом у 100-бальній шкалі, якому відповідає оцінка за шкалою ЄКТС:</w:t>
            </w:r>
          </w:p>
          <w:tbl>
            <w:tblPr>
              <w:tblStyle w:val="13"/>
              <w:tblW w:w="5662" w:type="dxa"/>
              <w:jc w:val="center"/>
              <w:tblBorders>
                <w:top w:val="single" w:color="000000" w:sz="4" w:space="0"/>
                <w:left w:val="single" w:color="000000" w:sz="4" w:space="0"/>
                <w:bottom w:val="single" w:color="000000" w:sz="4" w:space="0"/>
                <w:right w:val="single" w:color="000000" w:sz="4" w:space="0"/>
                <w:insideH w:val="single" w:color="000000" w:sz="4" w:space="0"/>
                <w:insideV w:val="single" w:color="000000" w:sz="4" w:space="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295"/>
              <w:gridCol w:w="822"/>
              <w:gridCol w:w="591"/>
              <w:gridCol w:w="1954"/>
            </w:tblGrid>
            <w:tr w14:paraId="64573CB0"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7" w:hRule="atLeast"/>
                <w:jc w:val="center"/>
              </w:trPr>
              <w:tc>
                <w:tcPr>
                  <w:tcW w:w="2295" w:type="dxa"/>
                </w:tcPr>
                <w:p w14:paraId="1A9A3DED">
                  <w:pPr>
                    <w:pStyle w:val="15"/>
                    <w:spacing w:before="1" w:line="257" w:lineRule="exact"/>
                    <w:ind w:left="107" w:right="74"/>
                    <w:rPr>
                      <w:bCs/>
                      <w:sz w:val="26"/>
                      <w:szCs w:val="26"/>
                    </w:rPr>
                  </w:pPr>
                  <w:r>
                    <w:rPr>
                      <w:bCs/>
                      <w:sz w:val="26"/>
                      <w:szCs w:val="26"/>
                    </w:rPr>
                    <w:t>90 – 100 балів</w:t>
                  </w:r>
                </w:p>
              </w:tc>
              <w:tc>
                <w:tcPr>
                  <w:tcW w:w="822" w:type="dxa"/>
                </w:tcPr>
                <w:p w14:paraId="2A4661B3">
                  <w:pPr>
                    <w:pStyle w:val="15"/>
                    <w:spacing w:before="1" w:line="257" w:lineRule="exact"/>
                    <w:ind w:left="-39" w:right="74"/>
                    <w:jc w:val="center"/>
                    <w:rPr>
                      <w:bCs/>
                      <w:sz w:val="26"/>
                      <w:szCs w:val="26"/>
                    </w:rPr>
                  </w:pPr>
                  <w:r>
                    <w:rPr>
                      <w:bCs/>
                      <w:w w:val="99"/>
                      <w:sz w:val="26"/>
                      <w:szCs w:val="26"/>
                    </w:rPr>
                    <w:t>A</w:t>
                  </w:r>
                </w:p>
              </w:tc>
              <w:tc>
                <w:tcPr>
                  <w:tcW w:w="591" w:type="dxa"/>
                  <w:vMerge w:val="restart"/>
                </w:tcPr>
                <w:p w14:paraId="691ED722">
                  <w:pPr>
                    <w:pStyle w:val="15"/>
                    <w:ind w:left="104" w:right="74"/>
                    <w:rPr>
                      <w:bCs/>
                      <w:sz w:val="26"/>
                      <w:szCs w:val="26"/>
                    </w:rPr>
                  </w:pPr>
                  <w:r>
                    <w:rPr>
                      <w:bCs/>
                      <w:sz w:val="26"/>
                      <w:szCs w:val="26"/>
                    </w:rPr>
                    <w:drawing>
                      <wp:inline distT="0" distB="0" distL="0" distR="0">
                        <wp:extent cx="241935" cy="899795"/>
                        <wp:effectExtent l="0" t="0" r="5715" b="0"/>
                        <wp:docPr id="876860971" name="image3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76860971" name="image3.png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2490" cy="900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954" w:type="dxa"/>
                  <w:vMerge w:val="restart"/>
                </w:tcPr>
                <w:p w14:paraId="5F301BA6">
                  <w:pPr>
                    <w:pStyle w:val="15"/>
                    <w:ind w:right="74"/>
                    <w:rPr>
                      <w:bCs/>
                      <w:sz w:val="26"/>
                      <w:szCs w:val="26"/>
                    </w:rPr>
                  </w:pPr>
                </w:p>
                <w:p w14:paraId="53A1A983">
                  <w:pPr>
                    <w:pStyle w:val="15"/>
                    <w:spacing w:before="1"/>
                    <w:ind w:right="74"/>
                    <w:rPr>
                      <w:bCs/>
                      <w:sz w:val="26"/>
                      <w:szCs w:val="26"/>
                    </w:rPr>
                  </w:pPr>
                </w:p>
                <w:p w14:paraId="7BF0EA3E">
                  <w:pPr>
                    <w:pStyle w:val="15"/>
                    <w:ind w:right="74"/>
                    <w:jc w:val="center"/>
                    <w:rPr>
                      <w:bCs/>
                      <w:sz w:val="26"/>
                      <w:szCs w:val="26"/>
                    </w:rPr>
                  </w:pPr>
                  <w:r>
                    <w:rPr>
                      <w:bCs/>
                      <w:sz w:val="26"/>
                      <w:szCs w:val="26"/>
                    </w:rPr>
                    <w:t>зараховано</w:t>
                  </w:r>
                </w:p>
              </w:tc>
            </w:tr>
            <w:tr w14:paraId="4389F6E3"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5" w:hRule="atLeast"/>
                <w:jc w:val="center"/>
              </w:trPr>
              <w:tc>
                <w:tcPr>
                  <w:tcW w:w="2295" w:type="dxa"/>
                </w:tcPr>
                <w:p w14:paraId="01C028FF">
                  <w:pPr>
                    <w:pStyle w:val="15"/>
                    <w:spacing w:line="256" w:lineRule="exact"/>
                    <w:ind w:left="107" w:right="74"/>
                    <w:rPr>
                      <w:bCs/>
                      <w:sz w:val="26"/>
                      <w:szCs w:val="26"/>
                    </w:rPr>
                  </w:pPr>
                  <w:r>
                    <w:rPr>
                      <w:bCs/>
                      <w:sz w:val="26"/>
                      <w:szCs w:val="26"/>
                    </w:rPr>
                    <w:t>82 – 89 балів</w:t>
                  </w:r>
                </w:p>
              </w:tc>
              <w:tc>
                <w:tcPr>
                  <w:tcW w:w="822" w:type="dxa"/>
                </w:tcPr>
                <w:p w14:paraId="43F1782F">
                  <w:pPr>
                    <w:pStyle w:val="15"/>
                    <w:spacing w:line="256" w:lineRule="exact"/>
                    <w:ind w:left="-39" w:right="74"/>
                    <w:jc w:val="center"/>
                    <w:rPr>
                      <w:bCs/>
                      <w:sz w:val="26"/>
                      <w:szCs w:val="26"/>
                    </w:rPr>
                  </w:pPr>
                  <w:r>
                    <w:rPr>
                      <w:bCs/>
                      <w:sz w:val="26"/>
                      <w:szCs w:val="26"/>
                    </w:rPr>
                    <w:t>B</w:t>
                  </w:r>
                </w:p>
              </w:tc>
              <w:tc>
                <w:tcPr>
                  <w:tcW w:w="591" w:type="dxa"/>
                  <w:vMerge w:val="continue"/>
                  <w:tcBorders>
                    <w:top w:val="nil"/>
                  </w:tcBorders>
                </w:tcPr>
                <w:p w14:paraId="219C69BC">
                  <w:pPr>
                    <w:ind w:right="74"/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</w:pPr>
                </w:p>
              </w:tc>
              <w:tc>
                <w:tcPr>
                  <w:tcW w:w="1954" w:type="dxa"/>
                  <w:vMerge w:val="continue"/>
                  <w:tcBorders>
                    <w:top w:val="nil"/>
                  </w:tcBorders>
                </w:tcPr>
                <w:p w14:paraId="089126CB">
                  <w:pPr>
                    <w:ind w:right="74"/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</w:pPr>
                </w:p>
              </w:tc>
            </w:tr>
            <w:tr w14:paraId="5F8825B4"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5" w:hRule="atLeast"/>
                <w:jc w:val="center"/>
              </w:trPr>
              <w:tc>
                <w:tcPr>
                  <w:tcW w:w="2295" w:type="dxa"/>
                </w:tcPr>
                <w:p w14:paraId="1ED144B3">
                  <w:pPr>
                    <w:pStyle w:val="15"/>
                    <w:spacing w:line="256" w:lineRule="exact"/>
                    <w:ind w:left="107" w:right="74"/>
                    <w:rPr>
                      <w:bCs/>
                      <w:sz w:val="26"/>
                      <w:szCs w:val="26"/>
                    </w:rPr>
                  </w:pPr>
                  <w:r>
                    <w:rPr>
                      <w:bCs/>
                      <w:sz w:val="26"/>
                      <w:szCs w:val="26"/>
                    </w:rPr>
                    <w:t>75 – 81 бал</w:t>
                  </w:r>
                </w:p>
              </w:tc>
              <w:tc>
                <w:tcPr>
                  <w:tcW w:w="822" w:type="dxa"/>
                </w:tcPr>
                <w:p w14:paraId="5D453F86">
                  <w:pPr>
                    <w:pStyle w:val="15"/>
                    <w:spacing w:line="256" w:lineRule="exact"/>
                    <w:ind w:left="-39" w:right="74"/>
                    <w:jc w:val="center"/>
                    <w:rPr>
                      <w:bCs/>
                      <w:sz w:val="26"/>
                      <w:szCs w:val="26"/>
                    </w:rPr>
                  </w:pPr>
                  <w:r>
                    <w:rPr>
                      <w:bCs/>
                      <w:w w:val="99"/>
                      <w:sz w:val="26"/>
                      <w:szCs w:val="26"/>
                    </w:rPr>
                    <w:t>C</w:t>
                  </w:r>
                </w:p>
              </w:tc>
              <w:tc>
                <w:tcPr>
                  <w:tcW w:w="591" w:type="dxa"/>
                  <w:vMerge w:val="continue"/>
                  <w:tcBorders>
                    <w:top w:val="nil"/>
                  </w:tcBorders>
                </w:tcPr>
                <w:p w14:paraId="44A2CFDF">
                  <w:pPr>
                    <w:ind w:right="74"/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</w:pPr>
                </w:p>
              </w:tc>
              <w:tc>
                <w:tcPr>
                  <w:tcW w:w="1954" w:type="dxa"/>
                  <w:vMerge w:val="continue"/>
                  <w:tcBorders>
                    <w:top w:val="nil"/>
                  </w:tcBorders>
                </w:tcPr>
                <w:p w14:paraId="350D6FD6">
                  <w:pPr>
                    <w:ind w:right="74"/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</w:pPr>
                </w:p>
              </w:tc>
            </w:tr>
            <w:tr w14:paraId="561A8C15"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5" w:hRule="atLeast"/>
                <w:jc w:val="center"/>
              </w:trPr>
              <w:tc>
                <w:tcPr>
                  <w:tcW w:w="2295" w:type="dxa"/>
                </w:tcPr>
                <w:p w14:paraId="051B56BE">
                  <w:pPr>
                    <w:pStyle w:val="15"/>
                    <w:spacing w:line="256" w:lineRule="exact"/>
                    <w:ind w:left="107" w:right="74"/>
                    <w:rPr>
                      <w:bCs/>
                      <w:sz w:val="26"/>
                      <w:szCs w:val="26"/>
                    </w:rPr>
                  </w:pPr>
                  <w:r>
                    <w:rPr>
                      <w:bCs/>
                      <w:sz w:val="26"/>
                      <w:szCs w:val="26"/>
                    </w:rPr>
                    <w:t>66 – 74 бали</w:t>
                  </w:r>
                </w:p>
              </w:tc>
              <w:tc>
                <w:tcPr>
                  <w:tcW w:w="822" w:type="dxa"/>
                </w:tcPr>
                <w:p w14:paraId="04DB5D2A">
                  <w:pPr>
                    <w:pStyle w:val="15"/>
                    <w:spacing w:line="256" w:lineRule="exact"/>
                    <w:ind w:left="-39" w:right="74"/>
                    <w:jc w:val="center"/>
                    <w:rPr>
                      <w:bCs/>
                      <w:sz w:val="26"/>
                      <w:szCs w:val="26"/>
                    </w:rPr>
                  </w:pPr>
                  <w:r>
                    <w:rPr>
                      <w:bCs/>
                      <w:w w:val="99"/>
                      <w:sz w:val="26"/>
                      <w:szCs w:val="26"/>
                    </w:rPr>
                    <w:t>D</w:t>
                  </w:r>
                </w:p>
              </w:tc>
              <w:tc>
                <w:tcPr>
                  <w:tcW w:w="591" w:type="dxa"/>
                  <w:vMerge w:val="continue"/>
                  <w:tcBorders>
                    <w:top w:val="nil"/>
                  </w:tcBorders>
                </w:tcPr>
                <w:p w14:paraId="6E91D930">
                  <w:pPr>
                    <w:ind w:right="74"/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</w:pPr>
                </w:p>
              </w:tc>
              <w:tc>
                <w:tcPr>
                  <w:tcW w:w="1954" w:type="dxa"/>
                  <w:vMerge w:val="continue"/>
                  <w:tcBorders>
                    <w:top w:val="nil"/>
                  </w:tcBorders>
                </w:tcPr>
                <w:p w14:paraId="6C460AD5">
                  <w:pPr>
                    <w:ind w:right="74"/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</w:pPr>
                </w:p>
              </w:tc>
            </w:tr>
            <w:tr w14:paraId="02D6F110"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7" w:hRule="atLeast"/>
                <w:jc w:val="center"/>
              </w:trPr>
              <w:tc>
                <w:tcPr>
                  <w:tcW w:w="2295" w:type="dxa"/>
                </w:tcPr>
                <w:p w14:paraId="537CE176">
                  <w:pPr>
                    <w:pStyle w:val="15"/>
                    <w:spacing w:line="275" w:lineRule="exact"/>
                    <w:ind w:left="107" w:right="74"/>
                    <w:rPr>
                      <w:bCs/>
                      <w:sz w:val="26"/>
                      <w:szCs w:val="26"/>
                    </w:rPr>
                  </w:pPr>
                  <w:r>
                    <w:rPr>
                      <w:bCs/>
                      <w:sz w:val="26"/>
                      <w:szCs w:val="26"/>
                    </w:rPr>
                    <w:t>60 – 65 балів</w:t>
                  </w:r>
                </w:p>
              </w:tc>
              <w:tc>
                <w:tcPr>
                  <w:tcW w:w="822" w:type="dxa"/>
                </w:tcPr>
                <w:p w14:paraId="78E251EB">
                  <w:pPr>
                    <w:pStyle w:val="15"/>
                    <w:spacing w:line="275" w:lineRule="exact"/>
                    <w:ind w:left="-39" w:right="74"/>
                    <w:jc w:val="center"/>
                    <w:rPr>
                      <w:bCs/>
                      <w:sz w:val="26"/>
                      <w:szCs w:val="26"/>
                    </w:rPr>
                  </w:pPr>
                  <w:r>
                    <w:rPr>
                      <w:bCs/>
                      <w:sz w:val="26"/>
                      <w:szCs w:val="26"/>
                    </w:rPr>
                    <w:t>E</w:t>
                  </w:r>
                </w:p>
              </w:tc>
              <w:tc>
                <w:tcPr>
                  <w:tcW w:w="591" w:type="dxa"/>
                  <w:vMerge w:val="continue"/>
                  <w:tcBorders>
                    <w:top w:val="nil"/>
                  </w:tcBorders>
                </w:tcPr>
                <w:p w14:paraId="1D6D8D59">
                  <w:pPr>
                    <w:ind w:right="74"/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</w:pPr>
                </w:p>
              </w:tc>
              <w:tc>
                <w:tcPr>
                  <w:tcW w:w="1954" w:type="dxa"/>
                  <w:vMerge w:val="continue"/>
                  <w:tcBorders>
                    <w:top w:val="nil"/>
                  </w:tcBorders>
                </w:tcPr>
                <w:p w14:paraId="0ED4553E">
                  <w:pPr>
                    <w:ind w:right="74"/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</w:pPr>
                </w:p>
              </w:tc>
            </w:tr>
            <w:tr w14:paraId="065639EA"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5" w:hRule="atLeast"/>
                <w:jc w:val="center"/>
              </w:trPr>
              <w:tc>
                <w:tcPr>
                  <w:tcW w:w="2295" w:type="dxa"/>
                </w:tcPr>
                <w:p w14:paraId="0AEA9582">
                  <w:pPr>
                    <w:pStyle w:val="15"/>
                    <w:spacing w:line="256" w:lineRule="exact"/>
                    <w:ind w:left="107" w:right="74"/>
                    <w:rPr>
                      <w:bCs/>
                      <w:sz w:val="26"/>
                      <w:szCs w:val="26"/>
                    </w:rPr>
                  </w:pPr>
                  <w:r>
                    <w:rPr>
                      <w:bCs/>
                      <w:sz w:val="26"/>
                      <w:szCs w:val="26"/>
                    </w:rPr>
                    <w:t>0 – 59 балів</w:t>
                  </w:r>
                </w:p>
              </w:tc>
              <w:tc>
                <w:tcPr>
                  <w:tcW w:w="822" w:type="dxa"/>
                </w:tcPr>
                <w:p w14:paraId="64765386">
                  <w:pPr>
                    <w:pStyle w:val="15"/>
                    <w:spacing w:line="256" w:lineRule="exact"/>
                    <w:ind w:left="-39" w:right="74"/>
                    <w:jc w:val="center"/>
                    <w:rPr>
                      <w:bCs/>
                      <w:sz w:val="26"/>
                      <w:szCs w:val="26"/>
                    </w:rPr>
                  </w:pPr>
                  <w:r>
                    <w:rPr>
                      <w:bCs/>
                      <w:sz w:val="26"/>
                      <w:szCs w:val="26"/>
                    </w:rPr>
                    <w:t>FX</w:t>
                  </w:r>
                </w:p>
              </w:tc>
              <w:tc>
                <w:tcPr>
                  <w:tcW w:w="2545" w:type="dxa"/>
                  <w:gridSpan w:val="2"/>
                </w:tcPr>
                <w:p w14:paraId="2A6F2E76">
                  <w:pPr>
                    <w:pStyle w:val="15"/>
                    <w:spacing w:line="256" w:lineRule="exact"/>
                    <w:ind w:right="74"/>
                    <w:jc w:val="center"/>
                    <w:rPr>
                      <w:bCs/>
                      <w:sz w:val="26"/>
                      <w:szCs w:val="26"/>
                    </w:rPr>
                  </w:pPr>
                  <w:r>
                    <w:rPr>
                      <w:bCs/>
                      <w:sz w:val="26"/>
                      <w:szCs w:val="26"/>
                    </w:rPr>
                    <w:t>не</w:t>
                  </w:r>
                  <w:r>
                    <w:rPr>
                      <w:bCs/>
                      <w:spacing w:val="-1"/>
                      <w:sz w:val="26"/>
                      <w:szCs w:val="26"/>
                    </w:rPr>
                    <w:t xml:space="preserve"> </w:t>
                  </w:r>
                  <w:r>
                    <w:rPr>
                      <w:bCs/>
                      <w:sz w:val="26"/>
                      <w:szCs w:val="26"/>
                    </w:rPr>
                    <w:t>зараховано</w:t>
                  </w:r>
                </w:p>
              </w:tc>
            </w:tr>
          </w:tbl>
          <w:p w14:paraId="4FCAC160">
            <w:pPr>
              <w:ind w:right="7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344AF482">
      <w:pPr>
        <w:tabs>
          <w:tab w:val="left" w:pos="9458"/>
        </w:tabs>
        <w:spacing w:before="208"/>
        <w:ind w:left="991"/>
        <w:rPr>
          <w:rFonts w:ascii="Times New Roman" w:hAnsi="Times New Roman"/>
          <w:sz w:val="26"/>
          <w:szCs w:val="26"/>
        </w:rPr>
      </w:pPr>
      <w:r>
        <w:drawing>
          <wp:inline distT="0" distB="0" distL="114300" distR="114300">
            <wp:extent cx="5707380" cy="1722120"/>
            <wp:effectExtent l="0" t="0" r="7620" b="0"/>
            <wp:docPr id="1" name="Изобра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07380" cy="1722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10" w:h="16840"/>
      <w:pgMar w:top="380" w:right="283" w:bottom="280" w:left="425" w:header="708" w:footer="708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rebuchet MS">
    <w:panose1 w:val="020B0603020202020204"/>
    <w:charset w:val="CC"/>
    <w:family w:val="swiss"/>
    <w:pitch w:val="default"/>
    <w:sig w:usb0="00000687" w:usb1="00000000" w:usb2="00000000" w:usb3="00000000" w:csb0="2000009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Bold">
    <w:altName w:val="Cambria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TimesNewRomanPS-BoldItalicM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F935EA4"/>
    <w:multiLevelType w:val="multilevel"/>
    <w:tmpl w:val="2F935EA4"/>
    <w:lvl w:ilvl="0" w:tentative="0">
      <w:start w:val="5"/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Times New Roman" w:cs="Times New Roman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6EA906B1"/>
    <w:multiLevelType w:val="multilevel"/>
    <w:tmpl w:val="6EA906B1"/>
    <w:lvl w:ilvl="0" w:tentative="0">
      <w:start w:val="5"/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Times New Roman" w:cs="Times New Roman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6A0"/>
    <w:rsid w:val="00000112"/>
    <w:rsid w:val="0001498C"/>
    <w:rsid w:val="00033392"/>
    <w:rsid w:val="00040656"/>
    <w:rsid w:val="00043FAC"/>
    <w:rsid w:val="00044461"/>
    <w:rsid w:val="000523F1"/>
    <w:rsid w:val="00062A59"/>
    <w:rsid w:val="00091894"/>
    <w:rsid w:val="000976A0"/>
    <w:rsid w:val="000A3FBD"/>
    <w:rsid w:val="000A4B1A"/>
    <w:rsid w:val="000A4D1A"/>
    <w:rsid w:val="000B1CCC"/>
    <w:rsid w:val="000B74A0"/>
    <w:rsid w:val="000D401F"/>
    <w:rsid w:val="00103D1C"/>
    <w:rsid w:val="001074B5"/>
    <w:rsid w:val="00121888"/>
    <w:rsid w:val="001225BE"/>
    <w:rsid w:val="0012681D"/>
    <w:rsid w:val="001660B0"/>
    <w:rsid w:val="00176FB9"/>
    <w:rsid w:val="0018024F"/>
    <w:rsid w:val="001931AB"/>
    <w:rsid w:val="00193857"/>
    <w:rsid w:val="00193AB7"/>
    <w:rsid w:val="00193F1D"/>
    <w:rsid w:val="00195AB9"/>
    <w:rsid w:val="001A687D"/>
    <w:rsid w:val="001B3376"/>
    <w:rsid w:val="001B38A7"/>
    <w:rsid w:val="001B740C"/>
    <w:rsid w:val="001C72B4"/>
    <w:rsid w:val="001C7944"/>
    <w:rsid w:val="001E2A3F"/>
    <w:rsid w:val="001F0E9B"/>
    <w:rsid w:val="001F515E"/>
    <w:rsid w:val="00204854"/>
    <w:rsid w:val="00206F13"/>
    <w:rsid w:val="002127B3"/>
    <w:rsid w:val="00212948"/>
    <w:rsid w:val="00214992"/>
    <w:rsid w:val="00216D88"/>
    <w:rsid w:val="00226A56"/>
    <w:rsid w:val="00233AF3"/>
    <w:rsid w:val="00234011"/>
    <w:rsid w:val="00247EFE"/>
    <w:rsid w:val="00253605"/>
    <w:rsid w:val="00261B68"/>
    <w:rsid w:val="002823BF"/>
    <w:rsid w:val="002929EE"/>
    <w:rsid w:val="002A1975"/>
    <w:rsid w:val="002A2F12"/>
    <w:rsid w:val="002A5113"/>
    <w:rsid w:val="002B6B31"/>
    <w:rsid w:val="002C497D"/>
    <w:rsid w:val="002C5059"/>
    <w:rsid w:val="002C6ABB"/>
    <w:rsid w:val="002D391F"/>
    <w:rsid w:val="002D6F01"/>
    <w:rsid w:val="002F15B6"/>
    <w:rsid w:val="00331954"/>
    <w:rsid w:val="00332C5F"/>
    <w:rsid w:val="00345F9A"/>
    <w:rsid w:val="0034606F"/>
    <w:rsid w:val="00353DBB"/>
    <w:rsid w:val="00356012"/>
    <w:rsid w:val="003B47EF"/>
    <w:rsid w:val="003D0E58"/>
    <w:rsid w:val="003D13D2"/>
    <w:rsid w:val="003D4FEF"/>
    <w:rsid w:val="003E2EF7"/>
    <w:rsid w:val="003E372D"/>
    <w:rsid w:val="003E74B3"/>
    <w:rsid w:val="003F2183"/>
    <w:rsid w:val="004279CB"/>
    <w:rsid w:val="00436970"/>
    <w:rsid w:val="00440825"/>
    <w:rsid w:val="0044509B"/>
    <w:rsid w:val="004465EC"/>
    <w:rsid w:val="00452C40"/>
    <w:rsid w:val="00453A5D"/>
    <w:rsid w:val="00462C7F"/>
    <w:rsid w:val="00462CA3"/>
    <w:rsid w:val="00464BCF"/>
    <w:rsid w:val="00470A31"/>
    <w:rsid w:val="00482F8F"/>
    <w:rsid w:val="00497445"/>
    <w:rsid w:val="004C318D"/>
    <w:rsid w:val="004C48E7"/>
    <w:rsid w:val="004C7659"/>
    <w:rsid w:val="004E6EC6"/>
    <w:rsid w:val="0052516F"/>
    <w:rsid w:val="0053432E"/>
    <w:rsid w:val="00534DE0"/>
    <w:rsid w:val="00546189"/>
    <w:rsid w:val="00552415"/>
    <w:rsid w:val="00554BE8"/>
    <w:rsid w:val="005610A4"/>
    <w:rsid w:val="0056134F"/>
    <w:rsid w:val="00564AC1"/>
    <w:rsid w:val="00564C94"/>
    <w:rsid w:val="005725BD"/>
    <w:rsid w:val="00572A72"/>
    <w:rsid w:val="00595821"/>
    <w:rsid w:val="005B0673"/>
    <w:rsid w:val="005C7853"/>
    <w:rsid w:val="005E2EBA"/>
    <w:rsid w:val="006026F2"/>
    <w:rsid w:val="00610070"/>
    <w:rsid w:val="00625242"/>
    <w:rsid w:val="00643A83"/>
    <w:rsid w:val="00647CED"/>
    <w:rsid w:val="00672D71"/>
    <w:rsid w:val="00676AEF"/>
    <w:rsid w:val="00690205"/>
    <w:rsid w:val="006943A7"/>
    <w:rsid w:val="006B6F43"/>
    <w:rsid w:val="006D4906"/>
    <w:rsid w:val="006D69E7"/>
    <w:rsid w:val="006F3941"/>
    <w:rsid w:val="006F61E0"/>
    <w:rsid w:val="00704D16"/>
    <w:rsid w:val="007064BB"/>
    <w:rsid w:val="00710B09"/>
    <w:rsid w:val="00720CFE"/>
    <w:rsid w:val="00726431"/>
    <w:rsid w:val="007265D5"/>
    <w:rsid w:val="0073092A"/>
    <w:rsid w:val="00745A92"/>
    <w:rsid w:val="00750C5C"/>
    <w:rsid w:val="00766536"/>
    <w:rsid w:val="00780489"/>
    <w:rsid w:val="00781D40"/>
    <w:rsid w:val="00783129"/>
    <w:rsid w:val="007B157E"/>
    <w:rsid w:val="007B2052"/>
    <w:rsid w:val="007B68DD"/>
    <w:rsid w:val="007C6030"/>
    <w:rsid w:val="007F50FD"/>
    <w:rsid w:val="007F5BCA"/>
    <w:rsid w:val="008014A6"/>
    <w:rsid w:val="00822602"/>
    <w:rsid w:val="0082479C"/>
    <w:rsid w:val="00836956"/>
    <w:rsid w:val="00850355"/>
    <w:rsid w:val="008523F6"/>
    <w:rsid w:val="00853D33"/>
    <w:rsid w:val="008611CA"/>
    <w:rsid w:val="00871101"/>
    <w:rsid w:val="00876583"/>
    <w:rsid w:val="008841DD"/>
    <w:rsid w:val="008A0D9A"/>
    <w:rsid w:val="008D7D7C"/>
    <w:rsid w:val="008F29F3"/>
    <w:rsid w:val="008F33D7"/>
    <w:rsid w:val="008F7ADA"/>
    <w:rsid w:val="00901BAA"/>
    <w:rsid w:val="009113F4"/>
    <w:rsid w:val="00920CFA"/>
    <w:rsid w:val="009275CE"/>
    <w:rsid w:val="00937AAA"/>
    <w:rsid w:val="009420AF"/>
    <w:rsid w:val="00960A1B"/>
    <w:rsid w:val="00967182"/>
    <w:rsid w:val="009735DE"/>
    <w:rsid w:val="009751D3"/>
    <w:rsid w:val="009A298D"/>
    <w:rsid w:val="009A31E6"/>
    <w:rsid w:val="009A6AB8"/>
    <w:rsid w:val="009B1AEB"/>
    <w:rsid w:val="009B25DC"/>
    <w:rsid w:val="009B45A8"/>
    <w:rsid w:val="009B703B"/>
    <w:rsid w:val="009C5390"/>
    <w:rsid w:val="009C659A"/>
    <w:rsid w:val="009D69D1"/>
    <w:rsid w:val="009E125B"/>
    <w:rsid w:val="009E6A94"/>
    <w:rsid w:val="009F1FDE"/>
    <w:rsid w:val="00A022EB"/>
    <w:rsid w:val="00A304E9"/>
    <w:rsid w:val="00A310B4"/>
    <w:rsid w:val="00A358B6"/>
    <w:rsid w:val="00A666F9"/>
    <w:rsid w:val="00A70ECD"/>
    <w:rsid w:val="00A7441C"/>
    <w:rsid w:val="00A81161"/>
    <w:rsid w:val="00AA2C3F"/>
    <w:rsid w:val="00AB50C0"/>
    <w:rsid w:val="00AC3BA7"/>
    <w:rsid w:val="00AC54E9"/>
    <w:rsid w:val="00AE4AB2"/>
    <w:rsid w:val="00AE61EB"/>
    <w:rsid w:val="00AF7D71"/>
    <w:rsid w:val="00B17217"/>
    <w:rsid w:val="00B27371"/>
    <w:rsid w:val="00B37CCC"/>
    <w:rsid w:val="00B654B4"/>
    <w:rsid w:val="00B71219"/>
    <w:rsid w:val="00B73068"/>
    <w:rsid w:val="00B81921"/>
    <w:rsid w:val="00B85F41"/>
    <w:rsid w:val="00BA139F"/>
    <w:rsid w:val="00BB47DB"/>
    <w:rsid w:val="00BB69AB"/>
    <w:rsid w:val="00BE1E5A"/>
    <w:rsid w:val="00BF0498"/>
    <w:rsid w:val="00BF5480"/>
    <w:rsid w:val="00C00CA9"/>
    <w:rsid w:val="00C01A34"/>
    <w:rsid w:val="00C02B57"/>
    <w:rsid w:val="00C044D1"/>
    <w:rsid w:val="00C05E92"/>
    <w:rsid w:val="00C14508"/>
    <w:rsid w:val="00C21127"/>
    <w:rsid w:val="00C318D5"/>
    <w:rsid w:val="00C32FC2"/>
    <w:rsid w:val="00C40EFF"/>
    <w:rsid w:val="00C42A3F"/>
    <w:rsid w:val="00C439E3"/>
    <w:rsid w:val="00C61E1B"/>
    <w:rsid w:val="00C84212"/>
    <w:rsid w:val="00C916A8"/>
    <w:rsid w:val="00CA657E"/>
    <w:rsid w:val="00CB7856"/>
    <w:rsid w:val="00CD627B"/>
    <w:rsid w:val="00CD7EBB"/>
    <w:rsid w:val="00D141C1"/>
    <w:rsid w:val="00D24641"/>
    <w:rsid w:val="00D326EE"/>
    <w:rsid w:val="00D4275A"/>
    <w:rsid w:val="00D67460"/>
    <w:rsid w:val="00D7053B"/>
    <w:rsid w:val="00DA49EC"/>
    <w:rsid w:val="00DC201C"/>
    <w:rsid w:val="00DC5DD8"/>
    <w:rsid w:val="00DE410C"/>
    <w:rsid w:val="00DE5E5E"/>
    <w:rsid w:val="00E00837"/>
    <w:rsid w:val="00E10ABE"/>
    <w:rsid w:val="00E1414F"/>
    <w:rsid w:val="00E1695C"/>
    <w:rsid w:val="00E17683"/>
    <w:rsid w:val="00E4315C"/>
    <w:rsid w:val="00E514AB"/>
    <w:rsid w:val="00E519DD"/>
    <w:rsid w:val="00E536A6"/>
    <w:rsid w:val="00E54AB2"/>
    <w:rsid w:val="00E57ED1"/>
    <w:rsid w:val="00E673AE"/>
    <w:rsid w:val="00E916B0"/>
    <w:rsid w:val="00E95D0E"/>
    <w:rsid w:val="00EA4F8A"/>
    <w:rsid w:val="00EC4295"/>
    <w:rsid w:val="00EE1D29"/>
    <w:rsid w:val="00F0190A"/>
    <w:rsid w:val="00F02946"/>
    <w:rsid w:val="00F12B52"/>
    <w:rsid w:val="00F12FAC"/>
    <w:rsid w:val="00F13D24"/>
    <w:rsid w:val="00F31F5A"/>
    <w:rsid w:val="00F8166F"/>
    <w:rsid w:val="00FA3FE4"/>
    <w:rsid w:val="00FA601C"/>
    <w:rsid w:val="00FA6775"/>
    <w:rsid w:val="00FA71AB"/>
    <w:rsid w:val="00FC302E"/>
    <w:rsid w:val="00FD3F67"/>
    <w:rsid w:val="00FE1610"/>
    <w:rsid w:val="00FE3981"/>
    <w:rsid w:val="00FF1231"/>
    <w:rsid w:val="14CD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Trebuchet MS" w:hAnsi="Trebuchet MS" w:eastAsia="Trebuchet MS" w:cs="Trebuchet MS"/>
      <w:sz w:val="22"/>
      <w:szCs w:val="22"/>
      <w:lang w:val="uk-UA" w:eastAsia="en-US" w:bidi="ar-SA"/>
    </w:rPr>
  </w:style>
  <w:style w:type="paragraph" w:styleId="2">
    <w:name w:val="heading 1"/>
    <w:basedOn w:val="1"/>
    <w:link w:val="19"/>
    <w:qFormat/>
    <w:uiPriority w:val="9"/>
    <w:pPr>
      <w:ind w:left="642"/>
      <w:outlineLvl w:val="0"/>
    </w:pPr>
    <w:rPr>
      <w:rFonts w:ascii="Times New Roman" w:hAnsi="Times New Roman" w:eastAsia="Times New Roman" w:cs="Times New Roman"/>
      <w:b/>
      <w:bCs/>
      <w:sz w:val="24"/>
      <w:szCs w:val="24"/>
    </w:rPr>
  </w:style>
  <w:style w:type="paragraph" w:styleId="3">
    <w:name w:val="heading 4"/>
    <w:basedOn w:val="1"/>
    <w:next w:val="1"/>
    <w:link w:val="26"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/>
      <w:iCs/>
      <w:color w:val="376092" w:themeColor="accent1" w:themeShade="BF"/>
    </w:rPr>
  </w:style>
  <w:style w:type="paragraph" w:styleId="4">
    <w:name w:val="heading 5"/>
    <w:basedOn w:val="1"/>
    <w:next w:val="1"/>
    <w:link w:val="20"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color w:val="376092" w:themeColor="accent1" w:themeShade="BF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Emphasis"/>
    <w:basedOn w:val="5"/>
    <w:qFormat/>
    <w:uiPriority w:val="20"/>
    <w:rPr>
      <w:i/>
      <w:iCs/>
    </w:rPr>
  </w:style>
  <w:style w:type="character" w:styleId="8">
    <w:name w:val="Hyperlink"/>
    <w:basedOn w:val="5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9">
    <w:name w:val="Strong"/>
    <w:basedOn w:val="5"/>
    <w:qFormat/>
    <w:uiPriority w:val="22"/>
    <w:rPr>
      <w:b/>
      <w:bCs/>
    </w:rPr>
  </w:style>
  <w:style w:type="paragraph" w:styleId="10">
    <w:name w:val="Body Text 2"/>
    <w:basedOn w:val="1"/>
    <w:link w:val="25"/>
    <w:semiHidden/>
    <w:unhideWhenUsed/>
    <w:uiPriority w:val="99"/>
    <w:pPr>
      <w:spacing w:after="120" w:line="480" w:lineRule="auto"/>
    </w:pPr>
  </w:style>
  <w:style w:type="paragraph" w:styleId="11">
    <w:name w:val="Body Text"/>
    <w:basedOn w:val="1"/>
    <w:qFormat/>
    <w:uiPriority w:val="1"/>
    <w:rPr>
      <w:sz w:val="26"/>
      <w:szCs w:val="26"/>
    </w:rPr>
  </w:style>
  <w:style w:type="paragraph" w:styleId="12">
    <w:name w:val="Title"/>
    <w:basedOn w:val="1"/>
    <w:qFormat/>
    <w:uiPriority w:val="10"/>
    <w:pPr>
      <w:spacing w:before="90"/>
      <w:ind w:left="327"/>
      <w:jc w:val="center"/>
    </w:pPr>
    <w:rPr>
      <w:b/>
      <w:bCs/>
      <w:sz w:val="32"/>
      <w:szCs w:val="32"/>
    </w:rPr>
  </w:style>
  <w:style w:type="table" w:customStyle="1" w:styleId="13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4">
    <w:name w:val="List Paragraph"/>
    <w:basedOn w:val="1"/>
    <w:qFormat/>
    <w:uiPriority w:val="1"/>
    <w:pPr>
      <w:spacing w:before="4"/>
      <w:ind w:left="991" w:right="563" w:firstLine="710"/>
      <w:jc w:val="both"/>
    </w:pPr>
  </w:style>
  <w:style w:type="paragraph" w:customStyle="1" w:styleId="15">
    <w:name w:val="Table Paragraph"/>
    <w:basedOn w:val="1"/>
    <w:qFormat/>
    <w:uiPriority w:val="1"/>
    <w:rPr>
      <w:rFonts w:ascii="Times New Roman" w:hAnsi="Times New Roman" w:eastAsia="Times New Roman" w:cs="Times New Roman"/>
    </w:rPr>
  </w:style>
  <w:style w:type="character" w:customStyle="1" w:styleId="16">
    <w:name w:val="fontstyle01"/>
    <w:basedOn w:val="5"/>
    <w:qFormat/>
    <w:uiPriority w:val="0"/>
    <w:rPr>
      <w:rFonts w:hint="default" w:ascii="Bold" w:hAnsi="Bold"/>
      <w:b/>
      <w:bCs/>
      <w:color w:val="000000"/>
      <w:sz w:val="32"/>
      <w:szCs w:val="32"/>
    </w:rPr>
  </w:style>
  <w:style w:type="character" w:customStyle="1" w:styleId="17">
    <w:name w:val="fontstyle21"/>
    <w:basedOn w:val="5"/>
    <w:qFormat/>
    <w:uiPriority w:val="0"/>
    <w:rPr>
      <w:rFonts w:hint="default" w:ascii="TimesNewRomanPSMT" w:hAnsi="TimesNewRomanPSMT"/>
      <w:color w:val="000000"/>
      <w:sz w:val="24"/>
      <w:szCs w:val="24"/>
    </w:rPr>
  </w:style>
  <w:style w:type="character" w:customStyle="1" w:styleId="18">
    <w:name w:val="fontstyle31"/>
    <w:basedOn w:val="5"/>
    <w:qFormat/>
    <w:uiPriority w:val="0"/>
    <w:rPr>
      <w:rFonts w:hint="default" w:ascii="TimesNewRomanPS-BoldItalicMT" w:hAnsi="TimesNewRomanPS-BoldItalicMT"/>
      <w:b/>
      <w:bCs/>
      <w:i/>
      <w:iCs/>
      <w:color w:val="000000"/>
      <w:sz w:val="24"/>
      <w:szCs w:val="24"/>
    </w:rPr>
  </w:style>
  <w:style w:type="character" w:customStyle="1" w:styleId="19">
    <w:name w:val="Заголовок 1 Знак"/>
    <w:basedOn w:val="5"/>
    <w:link w:val="2"/>
    <w:qFormat/>
    <w:uiPriority w:val="9"/>
    <w:rPr>
      <w:rFonts w:ascii="Times New Roman" w:hAnsi="Times New Roman" w:eastAsia="Times New Roman" w:cs="Times New Roman"/>
      <w:b/>
      <w:bCs/>
      <w:sz w:val="24"/>
      <w:szCs w:val="24"/>
      <w:lang w:val="uk-UA"/>
    </w:rPr>
  </w:style>
  <w:style w:type="character" w:customStyle="1" w:styleId="20">
    <w:name w:val="Заголовок 5 Знак"/>
    <w:basedOn w:val="5"/>
    <w:link w:val="4"/>
    <w:semiHidden/>
    <w:qFormat/>
    <w:uiPriority w:val="9"/>
    <w:rPr>
      <w:rFonts w:asciiTheme="majorHAnsi" w:hAnsiTheme="majorHAnsi" w:eastAsiaTheme="majorEastAsia" w:cstheme="majorBidi"/>
      <w:color w:val="376092" w:themeColor="accent1" w:themeShade="BF"/>
      <w:lang w:val="uk-UA"/>
    </w:rPr>
  </w:style>
  <w:style w:type="character" w:customStyle="1" w:styleId="21">
    <w:name w:val="rvts0"/>
    <w:qFormat/>
    <w:uiPriority w:val="0"/>
  </w:style>
  <w:style w:type="character" w:customStyle="1" w:styleId="22">
    <w:name w:val="normaltextrun"/>
    <w:basedOn w:val="5"/>
    <w:uiPriority w:val="0"/>
  </w:style>
  <w:style w:type="character" w:customStyle="1" w:styleId="23">
    <w:name w:val="spellingerror"/>
    <w:uiPriority w:val="0"/>
  </w:style>
  <w:style w:type="character" w:customStyle="1" w:styleId="24">
    <w:name w:val="Unresolved Mention"/>
    <w:basedOn w:val="5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25">
    <w:name w:val="Основний текст 2 Знак"/>
    <w:basedOn w:val="5"/>
    <w:link w:val="10"/>
    <w:semiHidden/>
    <w:qFormat/>
    <w:uiPriority w:val="99"/>
    <w:rPr>
      <w:rFonts w:ascii="Trebuchet MS" w:hAnsi="Trebuchet MS" w:eastAsia="Trebuchet MS" w:cs="Trebuchet MS"/>
      <w:lang w:val="uk-UA"/>
    </w:rPr>
  </w:style>
  <w:style w:type="character" w:customStyle="1" w:styleId="26">
    <w:name w:val="Заголовок 4 Знак"/>
    <w:basedOn w:val="5"/>
    <w:link w:val="3"/>
    <w:semiHidden/>
    <w:uiPriority w:val="9"/>
    <w:rPr>
      <w:rFonts w:asciiTheme="majorHAnsi" w:hAnsiTheme="majorHAnsi" w:eastAsiaTheme="majorEastAsia" w:cstheme="majorBidi"/>
      <w:i/>
      <w:iCs/>
      <w:color w:val="376092" w:themeColor="accent1" w:themeShade="BF"/>
      <w:lang w:val="uk-U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numbering" Target="numbering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21C597-0929-4DE4-985C-0E4BCF8FC62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6779</Words>
  <Characters>3865</Characters>
  <Lines>32</Lines>
  <Paragraphs>21</Paragraphs>
  <TotalTime>0</TotalTime>
  <ScaleCrop>false</ScaleCrop>
  <LinksUpToDate>false</LinksUpToDate>
  <CharactersWithSpaces>10623</CharactersWithSpaces>
  <Application>WPS Office_12.2.0.22549_F1E327BC-269C-435d-A152-05C5408002CA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2025-09-05T01:22:00Z</dcterms:created>
  <dc:creator>Sergii Sorokin</dc:creator>
  <cp:lastModifiedBy>Vera Vera</cp:lastModifiedBy>
  <cp:lastPrinted>2025-06-13T11:18:00Z</cp:lastPrinted>
  <dcterms:modified xsi:type="dcterms:W3CDTF">2025-09-10T13:58:05Z</dcterms:modified>
  <cp:revision>102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2025-05-27T00:00:00Z</vt:filetime>
  </property>
  <property fmtid="{D5CDD505-2E9C-101B-9397-08002B2CF9AE}" pid="3" name="Creator">
    <vt:lpwstr>Microsoft® Word для Microsoft 365</vt:lpwstr>
  </property>
  <property fmtid="{D5CDD505-2E9C-101B-9397-08002B2CF9AE}" pid="4" name="LastSaved">
    <vt:filetime>2025-06-13T00:00:00Z</vt:filetime>
  </property>
  <property fmtid="{D5CDD505-2E9C-101B-9397-08002B2CF9AE}" pid="5" name="Producer">
    <vt:lpwstr>Microsoft® Word для Microsoft 365</vt:lpwstr>
  </property>
  <property fmtid="{D5CDD505-2E9C-101B-9397-08002B2CF9AE}" pid="6" name="KSOProductBuildVer">
    <vt:lpwstr>1049-12.2.0.22549</vt:lpwstr>
  </property>
  <property fmtid="{D5CDD505-2E9C-101B-9397-08002B2CF9AE}" pid="7" name="ICV">
    <vt:lpwstr>94EB0BA7129F430B8CA67434E200EDCA_12</vt:lpwstr>
  </property>
</Properties>
</file>