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C9" w:rsidRPr="00974244" w:rsidRDefault="008D69C9" w:rsidP="000A489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74244">
        <w:rPr>
          <w:rFonts w:ascii="Times New Roman" w:hAnsi="Times New Roman"/>
          <w:b/>
          <w:bCs/>
          <w:sz w:val="28"/>
          <w:szCs w:val="28"/>
          <w:lang w:val="uk-UA"/>
        </w:rPr>
        <w:t>Силабус навчальної дисципліни</w:t>
      </w:r>
    </w:p>
    <w:p w:rsidR="008D69C9" w:rsidRPr="00E7485B" w:rsidRDefault="008D69C9" w:rsidP="000A489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7485B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Постісторичний роман</w:t>
      </w:r>
      <w:r w:rsidRPr="00E7485B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X="-78" w:tblpY="18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06"/>
        <w:gridCol w:w="6237"/>
      </w:tblGrid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37" w:type="dxa"/>
          </w:tcPr>
          <w:p w:rsidR="008D69C9" w:rsidRPr="00F10C6B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0C6B">
              <w:rPr>
                <w:rFonts w:ascii="Times New Roman" w:hAnsi="Times New Roman"/>
                <w:i/>
                <w:sz w:val="28"/>
                <w:szCs w:val="28"/>
              </w:rPr>
              <w:t xml:space="preserve">01 Освіта / Педагогіка;  </w:t>
            </w:r>
          </w:p>
        </w:tc>
      </w:tr>
      <w:tr w:rsidR="008D69C9" w:rsidRPr="009666C1" w:rsidTr="005B268A">
        <w:tc>
          <w:tcPr>
            <w:tcW w:w="4106" w:type="dxa"/>
          </w:tcPr>
          <w:p w:rsidR="008D69C9" w:rsidRPr="00974244" w:rsidRDefault="008D69C9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Освітня програма </w:t>
            </w:r>
          </w:p>
        </w:tc>
        <w:tc>
          <w:tcPr>
            <w:tcW w:w="6237" w:type="dxa"/>
          </w:tcPr>
          <w:p w:rsidR="008D69C9" w:rsidRPr="00777CC1" w:rsidRDefault="008D69C9" w:rsidP="005B268A">
            <w:pPr>
              <w:tabs>
                <w:tab w:val="left" w:pos="2552"/>
              </w:tabs>
              <w:spacing w:after="0" w:line="240" w:lineRule="auto"/>
              <w:ind w:right="-112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Французька мова і друга західноєвропейська мова, зарубіжна література, методика навчання іноземних мов</w:t>
            </w:r>
          </w:p>
        </w:tc>
      </w:tr>
      <w:tr w:rsidR="008D69C9" w:rsidRPr="009666C1" w:rsidTr="005B268A">
        <w:tc>
          <w:tcPr>
            <w:tcW w:w="4106" w:type="dxa"/>
          </w:tcPr>
          <w:p w:rsidR="008D69C9" w:rsidRPr="00974244" w:rsidRDefault="008D69C9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Style w:val="211pt"/>
                <w:rFonts w:cs="Times New Roman"/>
                <w:bCs/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другий</w:t>
            </w:r>
            <w:r w:rsidRPr="009666C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магісте</w:t>
            </w:r>
            <w:r w:rsidRPr="009666C1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ru-RU"/>
              </w:rPr>
              <w:t>рський)</w:t>
            </w:r>
            <w:r w:rsidRPr="0097424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рівень вищої освіти</w:t>
            </w:r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в</w:t>
            </w:r>
            <w:r w:rsidRPr="0097424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ибіркова</w:t>
            </w:r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українська</w:t>
            </w:r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Курс/</w:t>
            </w:r>
            <w:r w:rsidRPr="00974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 xml:space="preserve">1 </w:t>
            </w:r>
            <w:r w:rsidRPr="00974244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>курс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val="uk-UA"/>
              </w:rPr>
              <w:t xml:space="preserve"> / 2 семестр</w:t>
            </w:r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237" w:type="dxa"/>
          </w:tcPr>
          <w:p w:rsidR="008D69C9" w:rsidRPr="00F10C6B" w:rsidRDefault="008D69C9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8D69C9" w:rsidRPr="00974244" w:rsidTr="005B268A">
        <w:trPr>
          <w:trHeight w:val="283"/>
        </w:trPr>
        <w:tc>
          <w:tcPr>
            <w:tcW w:w="4106" w:type="dxa"/>
            <w:vMerge w:val="restart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</w:t>
            </w:r>
            <w:r w:rsidRPr="00974244">
              <w:rPr>
                <w:rFonts w:ascii="Times New Roman" w:hAnsi="Times New Roman" w:cs="Times New Roman"/>
                <w:i/>
                <w:sz w:val="28"/>
                <w:szCs w:val="28"/>
              </w:rPr>
              <w:t>екції</w:t>
            </w:r>
            <w:r w:rsidRPr="0097424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14 год</w:t>
            </w:r>
            <w:r w:rsidRPr="0097424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D69C9" w:rsidRPr="00974244" w:rsidTr="005B268A">
        <w:trPr>
          <w:trHeight w:val="283"/>
        </w:trPr>
        <w:tc>
          <w:tcPr>
            <w:tcW w:w="4106" w:type="dxa"/>
            <w:vMerge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D69C9" w:rsidRPr="00F10C6B" w:rsidRDefault="008D69C9" w:rsidP="005B268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рактичні </w:t>
            </w:r>
            <w:r w:rsidRPr="00974244">
              <w:rPr>
                <w:rFonts w:ascii="Times New Roman" w:hAnsi="Times New Roman"/>
                <w:i/>
                <w:sz w:val="28"/>
                <w:szCs w:val="28"/>
              </w:rPr>
              <w:t>заняття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16 год.</w:t>
            </w:r>
          </w:p>
        </w:tc>
      </w:tr>
      <w:tr w:rsidR="008D69C9" w:rsidRPr="00974244" w:rsidTr="005B268A">
        <w:trPr>
          <w:trHeight w:val="283"/>
        </w:trPr>
        <w:tc>
          <w:tcPr>
            <w:tcW w:w="4106" w:type="dxa"/>
            <w:vMerge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8D69C9" w:rsidRPr="00974244" w:rsidRDefault="008D69C9" w:rsidP="005B268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</w:t>
            </w:r>
            <w:r w:rsidRPr="00974244">
              <w:rPr>
                <w:rFonts w:ascii="Times New Roman" w:hAnsi="Times New Roman"/>
                <w:i/>
                <w:sz w:val="28"/>
                <w:szCs w:val="28"/>
              </w:rPr>
              <w:t>амостійна робота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60</w:t>
            </w:r>
            <w:r w:rsidRPr="00974244">
              <w:rPr>
                <w:rFonts w:ascii="Times New Roman" w:hAnsi="Times New Roman"/>
                <w:i/>
                <w:sz w:val="28"/>
                <w:szCs w:val="28"/>
              </w:rPr>
              <w:t xml:space="preserve"> год.</w:t>
            </w:r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залік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здобуття освіти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енна </w:t>
            </w:r>
          </w:p>
        </w:tc>
      </w:tr>
      <w:tr w:rsidR="008D69C9" w:rsidRPr="009666C1" w:rsidTr="005B268A">
        <w:tc>
          <w:tcPr>
            <w:tcW w:w="4106" w:type="dxa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Кафедра 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F214D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кафедра теорії та історії світової літератури,  вул. Лаб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ораторна, 5/17, </w:t>
            </w:r>
            <w:r w:rsidRPr="00541569">
              <w:rPr>
                <w:rStyle w:val="Strong"/>
                <w:rFonts w:ascii="Times New Roman" w:hAnsi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ru-RU"/>
              </w:rPr>
              <w:t>(корпус № 3),</w:t>
            </w:r>
            <w:r w:rsidRPr="00541569">
              <w:rPr>
                <w:rStyle w:val="Strong"/>
                <w:rFonts w:ascii="Times New Roman" w:hAnsi="Times New Roman"/>
                <w:i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кім. 1009,  м. Київ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br/>
            </w:r>
            <w:r w:rsidRPr="00541569">
              <w:rPr>
                <w:rStyle w:val="Strong"/>
                <w:rFonts w:ascii="Times New Roman" w:hAnsi="Times New Roman"/>
                <w:b w:val="0"/>
                <w:bCs w:val="0"/>
                <w:i/>
                <w:sz w:val="28"/>
                <w:szCs w:val="28"/>
                <w:shd w:val="clear" w:color="auto" w:fill="FFFFFF"/>
                <w:lang w:val="ru-RU"/>
              </w:rPr>
              <w:t>+38 (044) 521-21-03</w:t>
            </w:r>
            <w:r w:rsidRPr="0054156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hyperlink r:id="rId5" w:tgtFrame="_blank" w:history="1"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https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://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svitlit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knlu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edu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  <w:lang w:val="ru-RU"/>
                </w:rPr>
                <w:t>.</w:t>
              </w:r>
              <w:r w:rsidRPr="00541569">
                <w:rPr>
                  <w:rStyle w:val="Hyperlink"/>
                  <w:rFonts w:ascii="Times New Roman" w:hAnsi="Times New Roman"/>
                  <w:i/>
                  <w:color w:val="auto"/>
                  <w:sz w:val="28"/>
                  <w:szCs w:val="28"/>
                </w:rPr>
                <w:t>ua</w:t>
              </w:r>
            </w:hyperlink>
          </w:p>
        </w:tc>
      </w:tr>
      <w:tr w:rsidR="008D69C9" w:rsidRPr="009666C1" w:rsidTr="005B268A">
        <w:tc>
          <w:tcPr>
            <w:tcW w:w="4106" w:type="dxa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214D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uk-UA"/>
              </w:rPr>
              <w:t>Юрчук Олена Олексіївна, кандидат філологічних наук, доцент кафедри теорії та історії світової літератури</w:t>
            </w:r>
          </w:p>
        </w:tc>
      </w:tr>
      <w:tr w:rsidR="008D69C9" w:rsidRPr="009666C1" w:rsidTr="005B268A">
        <w:tc>
          <w:tcPr>
            <w:tcW w:w="4106" w:type="dxa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Контактна інформація викладача</w:t>
            </w:r>
          </w:p>
        </w:tc>
        <w:tc>
          <w:tcPr>
            <w:tcW w:w="6237" w:type="dxa"/>
          </w:tcPr>
          <w:p w:rsidR="008D69C9" w:rsidRPr="00F10C6B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hyperlink r:id="rId6" w:history="1">
              <w:r w:rsidRPr="00D6097F">
                <w:rPr>
                  <w:rStyle w:val="Hyperlink"/>
                  <w:sz w:val="28"/>
                  <w:szCs w:val="28"/>
                </w:rPr>
                <w:t>olena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D6097F">
                <w:rPr>
                  <w:rStyle w:val="Hyperlink"/>
                  <w:sz w:val="28"/>
                  <w:szCs w:val="28"/>
                </w:rPr>
                <w:t>yurchuk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@</w:t>
              </w:r>
              <w:r w:rsidRPr="00D6097F">
                <w:rPr>
                  <w:rStyle w:val="Hyperlink"/>
                  <w:sz w:val="28"/>
                  <w:szCs w:val="28"/>
                </w:rPr>
                <w:t>knlu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D6097F">
                <w:rPr>
                  <w:rStyle w:val="Hyperlink"/>
                  <w:sz w:val="28"/>
                  <w:szCs w:val="28"/>
                </w:rPr>
                <w:t>edu</w:t>
              </w:r>
              <w:r w:rsidRPr="00541569">
                <w:rPr>
                  <w:rStyle w:val="Hyperlink"/>
                  <w:sz w:val="28"/>
                  <w:szCs w:val="28"/>
                  <w:lang w:val="uk-UA"/>
                </w:rPr>
                <w:t>.</w:t>
              </w:r>
              <w:r w:rsidRPr="00D6097F">
                <w:rPr>
                  <w:rStyle w:val="Hyperlink"/>
                  <w:sz w:val="28"/>
                  <w:szCs w:val="28"/>
                </w:rPr>
                <w:t>ua</w:t>
              </w:r>
            </w:hyperlink>
          </w:p>
        </w:tc>
      </w:tr>
      <w:tr w:rsidR="008D69C9" w:rsidRPr="00974244" w:rsidTr="005B268A">
        <w:tc>
          <w:tcPr>
            <w:tcW w:w="4106" w:type="dxa"/>
          </w:tcPr>
          <w:p w:rsidR="008D69C9" w:rsidRPr="00974244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</w:t>
            </w:r>
            <w:r w:rsidRPr="00974244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гідно з розкладом</w:t>
            </w:r>
          </w:p>
        </w:tc>
      </w:tr>
      <w:tr w:rsidR="008D69C9" w:rsidRPr="009666C1" w:rsidTr="005B268A">
        <w:tc>
          <w:tcPr>
            <w:tcW w:w="4106" w:type="dxa"/>
          </w:tcPr>
          <w:p w:rsidR="008D69C9" w:rsidRPr="00777CC1" w:rsidRDefault="008D69C9" w:rsidP="005B26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CC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37" w:type="dxa"/>
          </w:tcPr>
          <w:p w:rsidR="008D69C9" w:rsidRPr="00974244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очні / дистанційні відповідно до графіку та за домовленістю з ініціативи здобувача; індивідуальні / групові</w:t>
            </w:r>
            <w:r w:rsidRPr="00BC7DE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8D69C9" w:rsidRPr="009666C1" w:rsidTr="005B268A">
        <w:tc>
          <w:tcPr>
            <w:tcW w:w="10343" w:type="dxa"/>
            <w:gridSpan w:val="2"/>
          </w:tcPr>
          <w:p w:rsidR="008D69C9" w:rsidRPr="00777CC1" w:rsidRDefault="008D69C9" w:rsidP="00777CC1">
            <w:pPr>
              <w:pStyle w:val="1"/>
              <w:tabs>
                <w:tab w:val="left" w:pos="26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вивчення дисципліни – </w:t>
            </w:r>
            <w:r w:rsidRPr="00777CC1">
              <w:rPr>
                <w:rFonts w:ascii="Times New Roman" w:hAnsi="Times New Roman" w:cs="Times New Roman"/>
                <w:sz w:val="28"/>
                <w:szCs w:val="28"/>
              </w:rPr>
              <w:t>опанування студентами таких літературознавчих (та культурно-філософських) питань: вивчення перспектив новітньої літератури в умовах гетерогенності культур, де вона постає продуктом культури,  новим простором в культурній топографії.</w:t>
            </w:r>
          </w:p>
          <w:p w:rsidR="008D69C9" w:rsidRPr="00777CC1" w:rsidRDefault="008D69C9" w:rsidP="005B268A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D69C9" w:rsidRPr="00777CC1" w:rsidTr="005B268A">
        <w:tc>
          <w:tcPr>
            <w:tcW w:w="10343" w:type="dxa"/>
            <w:gridSpan w:val="2"/>
          </w:tcPr>
          <w:p w:rsidR="008D69C9" w:rsidRPr="00541569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15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навчальної дисципліни</w:t>
            </w:r>
          </w:p>
          <w:p w:rsidR="008D69C9" w:rsidRPr="00541569" w:rsidRDefault="008D69C9" w:rsidP="005B26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41569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Змістовий модуль 1</w:t>
            </w:r>
            <w:r w:rsidRPr="0054156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</w:t>
            </w:r>
            <w:r w:rsidRPr="00777CC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Постісторичний роман в умовах інтернаціоналізації літератури</w:t>
            </w:r>
          </w:p>
          <w:p w:rsidR="008D69C9" w:rsidRPr="009666C1" w:rsidRDefault="008D69C9" w:rsidP="00777CC1">
            <w:pPr>
              <w:pStyle w:val="BodyText2"/>
              <w:spacing w:line="240" w:lineRule="auto"/>
              <w:rPr>
                <w:b/>
                <w:bCs/>
                <w:sz w:val="28"/>
                <w:szCs w:val="28"/>
                <w:lang w:val="uk-UA"/>
              </w:rPr>
            </w:pPr>
            <w:r w:rsidRPr="00777CC1">
              <w:rPr>
                <w:b/>
                <w:bCs/>
                <w:sz w:val="28"/>
                <w:szCs w:val="28"/>
              </w:rPr>
              <w:t>Тем</w:t>
            </w:r>
            <w:r w:rsidRPr="00777CC1">
              <w:rPr>
                <w:b/>
                <w:bCs/>
                <w:sz w:val="28"/>
                <w:szCs w:val="28"/>
                <w:lang w:val="uk-UA"/>
              </w:rPr>
              <w:t xml:space="preserve">и1-2. </w:t>
            </w:r>
            <w:r w:rsidRPr="00777CC1">
              <w:rPr>
                <w:sz w:val="28"/>
                <w:szCs w:val="28"/>
                <w:lang w:val="uk-UA"/>
              </w:rPr>
              <w:t>Уводини до курсу. Перехідний період новітнього роману. Проблема історії/постісторії. Глобалізаційні і транскультуральні умови існування.</w:t>
            </w:r>
          </w:p>
          <w:p w:rsidR="008D69C9" w:rsidRPr="00777CC1" w:rsidRDefault="008D69C9" w:rsidP="00777CC1">
            <w:pPr>
              <w:pStyle w:val="BodyText2"/>
              <w:spacing w:line="240" w:lineRule="auto"/>
              <w:jc w:val="left"/>
              <w:rPr>
                <w:sz w:val="28"/>
                <w:szCs w:val="28"/>
                <w:lang w:val="uk-UA"/>
              </w:rPr>
            </w:pPr>
            <w:r w:rsidRPr="00777CC1">
              <w:rPr>
                <w:b/>
                <w:bCs/>
                <w:sz w:val="28"/>
                <w:szCs w:val="28"/>
              </w:rPr>
              <w:t xml:space="preserve">Тема </w:t>
            </w:r>
            <w:r w:rsidRPr="00777CC1">
              <w:rPr>
                <w:b/>
                <w:bCs/>
                <w:sz w:val="28"/>
                <w:szCs w:val="28"/>
                <w:lang w:val="uk-UA"/>
              </w:rPr>
              <w:t>3.</w:t>
            </w:r>
            <w:r w:rsidRPr="00777CC1">
              <w:rPr>
                <w:sz w:val="28"/>
                <w:szCs w:val="28"/>
                <w:lang w:val="uk-UA"/>
              </w:rPr>
              <w:t xml:space="preserve"> Характеристика сучасного літературного середовища (економічний, соціальний, етнічний, ментальний фактори ). Криза жанрового канону, його інваріантність.</w:t>
            </w:r>
          </w:p>
          <w:p w:rsidR="008D69C9" w:rsidRPr="00777CC1" w:rsidRDefault="008D69C9" w:rsidP="00777CC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CC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777CC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4.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77CC1">
              <w:rPr>
                <w:rFonts w:ascii="Times New Roman" w:hAnsi="Times New Roman"/>
                <w:sz w:val="28"/>
                <w:szCs w:val="28"/>
                <w:lang w:val="ru-RU"/>
              </w:rPr>
              <w:t>Інтертекстуальність в пост</w:t>
            </w:r>
            <w:r w:rsidRPr="00777CC1">
              <w:rPr>
                <w:rFonts w:ascii="Times New Roman" w:hAnsi="Times New Roman"/>
                <w:sz w:val="28"/>
                <w:szCs w:val="28"/>
                <w:lang w:val="uk-UA"/>
              </w:rPr>
              <w:t>історичному</w:t>
            </w:r>
            <w:r w:rsidRPr="00777C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романі.</w:t>
            </w:r>
            <w:r w:rsidRPr="00777C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Оповідні стратегії: наративні ознаки.</w:t>
            </w:r>
          </w:p>
          <w:p w:rsidR="008D69C9" w:rsidRPr="00777CC1" w:rsidRDefault="008D69C9" w:rsidP="00777CC1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777CC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777CC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777CC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777C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Феномен постмодернізму: історичний та культурно-літературознавчий аспекти. </w:t>
            </w:r>
            <w:r w:rsidRPr="00777CC1">
              <w:rPr>
                <w:rFonts w:ascii="Times New Roman" w:hAnsi="Times New Roman"/>
                <w:sz w:val="28"/>
                <w:szCs w:val="28"/>
                <w:lang w:val="uk-UA"/>
              </w:rPr>
              <w:t>Проблема фікційної історії й текстової реальності в постісторичному романі.</w:t>
            </w:r>
          </w:p>
        </w:tc>
      </w:tr>
      <w:tr w:rsidR="008D69C9" w:rsidRPr="00541569" w:rsidTr="005B268A">
        <w:trPr>
          <w:trHeight w:val="1266"/>
        </w:trPr>
        <w:tc>
          <w:tcPr>
            <w:tcW w:w="10343" w:type="dxa"/>
            <w:gridSpan w:val="2"/>
          </w:tcPr>
          <w:p w:rsidR="008D69C9" w:rsidRPr="00D15CB1" w:rsidRDefault="008D69C9" w:rsidP="005B26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Рекомендовані джерела</w:t>
            </w:r>
          </w:p>
          <w:p w:rsidR="008D69C9" w:rsidRPr="00D15CB1" w:rsidRDefault="008D69C9" w:rsidP="005B268A">
            <w:pPr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Основні:</w:t>
            </w:r>
          </w:p>
          <w:p w:rsidR="008D69C9" w:rsidRPr="009B2E31" w:rsidRDefault="008D69C9" w:rsidP="009B2E31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</w:pP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Ішігуро К. Похований велетень</w:t>
            </w:r>
          </w:p>
          <w:p w:rsidR="008D69C9" w:rsidRPr="009B2E31" w:rsidRDefault="008D69C9" w:rsidP="009B2E31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</w:pP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Сарамаго Ж. Євангелії від Ісуса.</w:t>
            </w:r>
          </w:p>
          <w:p w:rsidR="008D69C9" w:rsidRPr="009B2E31" w:rsidRDefault="008D69C9" w:rsidP="009B2E31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</w:pP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Алексієвич. С. Чорнобильська молитва.</w:t>
            </w:r>
          </w:p>
          <w:p w:rsidR="008D69C9" w:rsidRPr="009B2E31" w:rsidRDefault="008D69C9" w:rsidP="009B2E31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</w:pP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Модіано П. Дора Брюдер.</w:t>
            </w:r>
          </w:p>
          <w:p w:rsidR="008D69C9" w:rsidRPr="009B2E31" w:rsidRDefault="008D69C9" w:rsidP="009B2E31">
            <w:pPr>
              <w:spacing w:after="0"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  <w:lang w:val="ru-RU"/>
              </w:rPr>
            </w:pP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Льоса Маріо Варгас.</w:t>
            </w: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ru-RU"/>
              </w:rPr>
              <w:t xml:space="preserve"> Скромний герой.</w:t>
            </w:r>
          </w:p>
          <w:p w:rsidR="008D69C9" w:rsidRPr="009B2E31" w:rsidRDefault="008D69C9" w:rsidP="009B2E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Уельбек М. Пок</w:t>
            </w:r>
            <w:r w:rsidRPr="009B2E31"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  <w:t>ірність.</w:t>
            </w:r>
          </w:p>
          <w:p w:rsidR="008D69C9" w:rsidRPr="00541569" w:rsidRDefault="008D69C9" w:rsidP="009B2E31">
            <w:pPr>
              <w:pStyle w:val="BlockText"/>
              <w:spacing w:line="240" w:lineRule="auto"/>
              <w:ind w:left="0"/>
              <w:rPr>
                <w:szCs w:val="28"/>
              </w:rPr>
            </w:pPr>
          </w:p>
          <w:p w:rsidR="008D69C9" w:rsidRPr="00D15CB1" w:rsidRDefault="008D69C9" w:rsidP="005B268A">
            <w:pPr>
              <w:tabs>
                <w:tab w:val="left" w:pos="45"/>
              </w:tabs>
              <w:ind w:left="284" w:right="567" w:hanging="28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bCs/>
                <w:sz w:val="28"/>
                <w:szCs w:val="28"/>
              </w:rPr>
              <w:t>Додатков</w:t>
            </w:r>
            <w:r w:rsidRPr="00D15CB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і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bookmarkStart w:id="0" w:name="_Hlk113213504"/>
            <w:r>
              <w:rPr>
                <w:rStyle w:val="normaltextrun"/>
                <w:sz w:val="28"/>
                <w:szCs w:val="28"/>
                <w:lang w:val="ru-RU"/>
              </w:rPr>
              <w:t xml:space="preserve">Берк, П. (2004).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Нові перспективи </w:t>
            </w:r>
            <w:r>
              <w:rPr>
                <w:rStyle w:val="spellingerror"/>
                <w:i/>
                <w:iCs/>
                <w:sz w:val="28"/>
                <w:szCs w:val="28"/>
              </w:rPr>
              <w:t>історіописання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. </w:t>
            </w:r>
            <w:r>
              <w:rPr>
                <w:rStyle w:val="normaltextrun"/>
                <w:sz w:val="28"/>
                <w:szCs w:val="28"/>
              </w:rPr>
              <w:t>Ніка-центр</w:t>
            </w:r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Бодріяр</w:t>
            </w:r>
            <w:r>
              <w:rPr>
                <w:rStyle w:val="normaltextrun"/>
                <w:sz w:val="28"/>
                <w:szCs w:val="28"/>
              </w:rPr>
              <w:t xml:space="preserve">, Ж. (2004). </w:t>
            </w:r>
            <w:r>
              <w:rPr>
                <w:rStyle w:val="spellingerror"/>
                <w:i/>
                <w:iCs/>
                <w:sz w:val="28"/>
                <w:szCs w:val="28"/>
              </w:rPr>
              <w:t>Симулякри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 і симуляції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Деріда</w:t>
            </w:r>
            <w:r>
              <w:rPr>
                <w:rStyle w:val="spellingerror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Ж.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(2004).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Письмо та </w:t>
            </w:r>
            <w:r>
              <w:rPr>
                <w:rStyle w:val="spellingerror"/>
                <w:i/>
                <w:iCs/>
                <w:sz w:val="28"/>
                <w:szCs w:val="28"/>
              </w:rPr>
              <w:t>відмінність</w:t>
            </w:r>
            <w:r>
              <w:rPr>
                <w:rStyle w:val="normaltextrun"/>
                <w:i/>
                <w:iCs/>
                <w:sz w:val="28"/>
                <w:szCs w:val="28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Еко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spellingerror"/>
                <w:sz w:val="28"/>
                <w:szCs w:val="28"/>
              </w:rPr>
              <w:t>У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(2004).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Роль читача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Жицінський</w:t>
            </w:r>
            <w:r>
              <w:rPr>
                <w:rStyle w:val="spellingerror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Ю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(2004).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Бог постмодерністів</w:t>
            </w:r>
            <w:r>
              <w:rPr>
                <w:rStyle w:val="normaltextrun"/>
                <w:i/>
                <w:iCs/>
                <w:sz w:val="28"/>
                <w:szCs w:val="28"/>
                <w:lang w:val="ru-RU"/>
              </w:rPr>
              <w:t>.</w:t>
            </w:r>
            <w:r>
              <w:rPr>
                <w:rStyle w:val="normaltextrun"/>
                <w:sz w:val="28"/>
                <w:szCs w:val="28"/>
              </w:rPr>
              <w:t xml:space="preserve"> Видавництво Українського Католицького Університету.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Кристев</w:t>
            </w:r>
            <w:r>
              <w:rPr>
                <w:rStyle w:val="spellingerror"/>
                <w:sz w:val="28"/>
                <w:szCs w:val="28"/>
                <w:lang w:val="ru-RU"/>
              </w:rPr>
              <w:t xml:space="preserve">а, </w:t>
            </w:r>
            <w:r>
              <w:rPr>
                <w:rStyle w:val="normaltextrun"/>
                <w:sz w:val="28"/>
                <w:szCs w:val="28"/>
              </w:rPr>
              <w:t xml:space="preserve">Ю.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(2004).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Самі собі чужі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Леш</w:t>
            </w:r>
            <w:r>
              <w:rPr>
                <w:rStyle w:val="spellingerror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С.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(2003).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Соціологія постмодернізму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Мєднікова,</w:t>
            </w:r>
            <w:r>
              <w:rPr>
                <w:rStyle w:val="normaltextrun"/>
                <w:sz w:val="28"/>
                <w:szCs w:val="28"/>
              </w:rPr>
              <w:t xml:space="preserve"> Г.С. (2001).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Мистецтво постмодернізму як фактор адаптації особистості</w:t>
            </w:r>
            <w:r>
              <w:rPr>
                <w:rStyle w:val="normaltextrun"/>
                <w:sz w:val="28"/>
                <w:szCs w:val="28"/>
              </w:rPr>
              <w:t xml:space="preserve">. Монографія. НПУ ім. </w:t>
            </w:r>
            <w:r>
              <w:rPr>
                <w:rStyle w:val="spellingerror"/>
                <w:sz w:val="28"/>
                <w:szCs w:val="28"/>
              </w:rPr>
              <w:t>М.Драгоманова</w:t>
            </w:r>
            <w:r>
              <w:rPr>
                <w:rStyle w:val="normaltextrun"/>
                <w:sz w:val="28"/>
                <w:szCs w:val="28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Нич</w:t>
            </w:r>
            <w:r>
              <w:rPr>
                <w:rStyle w:val="spellingerror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Р.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(2007).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Світ тексту: </w:t>
            </w:r>
            <w:r>
              <w:rPr>
                <w:rStyle w:val="spellingerror"/>
                <w:i/>
                <w:iCs/>
                <w:sz w:val="28"/>
                <w:szCs w:val="28"/>
              </w:rPr>
              <w:t>постструктуралізм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 і літературознавство</w:t>
            </w:r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  <w:r>
              <w:rPr>
                <w:rStyle w:val="normaltextrun"/>
                <w:sz w:val="28"/>
                <w:szCs w:val="28"/>
              </w:rPr>
              <w:t xml:space="preserve"> Літопис</w:t>
            </w:r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Перкінс</w:t>
            </w:r>
            <w:r>
              <w:rPr>
                <w:rStyle w:val="normaltextrun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Д.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(2005).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Чи можлива історія літератури?</w:t>
            </w:r>
            <w:r>
              <w:rPr>
                <w:rStyle w:val="normaltextrun"/>
                <w:sz w:val="28"/>
                <w:szCs w:val="28"/>
              </w:rPr>
              <w:t xml:space="preserve"> Києво-</w:t>
            </w:r>
            <w:r>
              <w:rPr>
                <w:rStyle w:val="spellingerror"/>
                <w:sz w:val="28"/>
                <w:szCs w:val="28"/>
              </w:rPr>
              <w:t>Мог</w:t>
            </w:r>
            <w:r>
              <w:rPr>
                <w:rStyle w:val="spellingerror"/>
                <w:sz w:val="28"/>
                <w:szCs w:val="28"/>
                <w:lang w:val="ru-RU"/>
              </w:rPr>
              <w:t>илянська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pellingerror"/>
                <w:sz w:val="28"/>
                <w:szCs w:val="28"/>
              </w:rPr>
              <w:t>Ак</w:t>
            </w:r>
            <w:r>
              <w:rPr>
                <w:rStyle w:val="normaltextrun"/>
                <w:sz w:val="28"/>
                <w:szCs w:val="28"/>
                <w:lang w:val="ru-RU"/>
              </w:rPr>
              <w:t>адемія</w:t>
            </w:r>
            <w:bookmarkStart w:id="1" w:name="_GoBack"/>
            <w:bookmarkEnd w:id="1"/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Пол</w:t>
            </w:r>
            <w:r>
              <w:rPr>
                <w:rStyle w:val="spellingerror"/>
                <w:sz w:val="28"/>
                <w:szCs w:val="28"/>
              </w:rPr>
              <w:t>іщук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normaltextrun"/>
                <w:sz w:val="28"/>
                <w:szCs w:val="28"/>
              </w:rPr>
              <w:t xml:space="preserve">Я.О.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(2008).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Література як геокультурний проект</w:t>
            </w:r>
            <w:r>
              <w:rPr>
                <w:rStyle w:val="normaltextrun"/>
                <w:i/>
                <w:iCs/>
                <w:sz w:val="28"/>
                <w:szCs w:val="28"/>
                <w:lang w:val="ru-RU"/>
              </w:rPr>
              <w:t xml:space="preserve">. </w:t>
            </w:r>
            <w:r>
              <w:rPr>
                <w:rStyle w:val="normaltextrun"/>
                <w:sz w:val="28"/>
                <w:szCs w:val="28"/>
              </w:rPr>
              <w:t>Монографія.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pellingerror"/>
                <w:sz w:val="28"/>
                <w:szCs w:val="28"/>
              </w:rPr>
              <w:t>Академвидав</w:t>
            </w:r>
            <w:r>
              <w:rPr>
                <w:rStyle w:val="spellingerror"/>
                <w:sz w:val="28"/>
                <w:szCs w:val="28"/>
                <w:lang w:val="ru-RU"/>
              </w:rPr>
              <w:t>ництво</w:t>
            </w:r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Pr="009B2E31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Рікер</w:t>
            </w:r>
            <w:r>
              <w:rPr>
                <w:rStyle w:val="spellingerror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П.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(2000).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Сам як інший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Співак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spellingerror"/>
                <w:sz w:val="28"/>
                <w:szCs w:val="28"/>
              </w:rPr>
              <w:t>Ґ</w:t>
            </w:r>
            <w:r>
              <w:rPr>
                <w:rStyle w:val="spellingerror"/>
                <w:sz w:val="28"/>
                <w:szCs w:val="28"/>
                <w:lang w:val="ru-RU"/>
              </w:rPr>
              <w:t xml:space="preserve">. </w:t>
            </w:r>
            <w:r>
              <w:rPr>
                <w:rStyle w:val="spellingerror"/>
                <w:sz w:val="28"/>
                <w:szCs w:val="28"/>
              </w:rPr>
              <w:t>Ч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(2006).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В інших світах: </w:t>
            </w:r>
            <w:r>
              <w:rPr>
                <w:rStyle w:val="normaltextrun"/>
                <w:i/>
                <w:iCs/>
                <w:sz w:val="28"/>
                <w:szCs w:val="28"/>
                <w:lang w:val="ru-RU"/>
              </w:rPr>
              <w:t>е</w:t>
            </w:r>
            <w:r>
              <w:rPr>
                <w:rStyle w:val="normaltextrun"/>
                <w:i/>
                <w:iCs/>
                <w:sz w:val="28"/>
                <w:szCs w:val="28"/>
              </w:rPr>
              <w:t>сеї з питань культурної політики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. </w:t>
            </w:r>
            <w:r>
              <w:rPr>
                <w:rStyle w:val="normaltextrun"/>
                <w:sz w:val="28"/>
                <w:szCs w:val="28"/>
              </w:rPr>
              <w:t>Всесвіт</w:t>
            </w:r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Теорія літератури в Польщі.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(2008).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Антологія текстів: Друга половина ХХ – початок ХХІ ст. </w:t>
            </w:r>
            <w:r>
              <w:rPr>
                <w:rStyle w:val="spellingerror"/>
                <w:sz w:val="28"/>
                <w:szCs w:val="28"/>
              </w:rPr>
              <w:t>Упоряд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  <w:r>
              <w:rPr>
                <w:rStyle w:val="spellingerror"/>
                <w:sz w:val="28"/>
                <w:szCs w:val="28"/>
              </w:rPr>
              <w:t>Б.Бакули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. </w:t>
            </w:r>
            <w:r>
              <w:rPr>
                <w:rStyle w:val="normaltextrun"/>
                <w:sz w:val="28"/>
                <w:szCs w:val="28"/>
              </w:rPr>
              <w:t>Києво-Могилянська академія.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Ткачук</w:t>
            </w:r>
            <w:r>
              <w:rPr>
                <w:rStyle w:val="normaltextrun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О.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(2002). </w:t>
            </w:r>
            <w:r>
              <w:rPr>
                <w:rStyle w:val="spellingerror"/>
                <w:i/>
                <w:iCs/>
                <w:sz w:val="28"/>
                <w:szCs w:val="28"/>
              </w:rPr>
              <w:t>Наратологічний</w:t>
            </w:r>
            <w:r>
              <w:rPr>
                <w:rStyle w:val="normaltextrun"/>
                <w:i/>
                <w:iCs/>
                <w:sz w:val="28"/>
                <w:szCs w:val="28"/>
              </w:rPr>
              <w:t xml:space="preserve"> словник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  <w:r>
              <w:rPr>
                <w:rStyle w:val="spellingerror"/>
                <w:sz w:val="28"/>
                <w:szCs w:val="28"/>
              </w:rPr>
              <w:t>Астон</w:t>
            </w:r>
            <w:r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Тодоров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, </w:t>
            </w:r>
            <w:r>
              <w:rPr>
                <w:rStyle w:val="spellingerror"/>
                <w:sz w:val="28"/>
                <w:szCs w:val="28"/>
              </w:rPr>
              <w:t>Цв</w:t>
            </w:r>
            <w:r>
              <w:rPr>
                <w:rStyle w:val="normaltextrun"/>
                <w:sz w:val="28"/>
                <w:szCs w:val="28"/>
              </w:rPr>
              <w:t xml:space="preserve">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(2006). </w:t>
            </w:r>
            <w:r>
              <w:rPr>
                <w:rStyle w:val="normaltextrun"/>
                <w:i/>
                <w:iCs/>
                <w:sz w:val="28"/>
                <w:szCs w:val="28"/>
              </w:rPr>
              <w:t>Поняття літератури та інші есе</w:t>
            </w:r>
            <w:r>
              <w:rPr>
                <w:rStyle w:val="normaltextrun"/>
                <w:i/>
                <w:iCs/>
                <w:sz w:val="28"/>
                <w:szCs w:val="28"/>
                <w:lang w:val="ru-RU"/>
              </w:rPr>
              <w:t xml:space="preserve">. 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normaltextrun"/>
                <w:sz w:val="28"/>
                <w:szCs w:val="28"/>
              </w:rPr>
              <w:t>Києво-Могилянська академія.</w:t>
            </w:r>
          </w:p>
          <w:p w:rsidR="008D69C9" w:rsidRPr="009B2E31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rStyle w:val="spellingerror"/>
                <w:sz w:val="28"/>
                <w:szCs w:val="28"/>
              </w:rPr>
              <w:t>Фізер</w:t>
            </w:r>
            <w:r>
              <w:rPr>
                <w:rStyle w:val="spellingerror"/>
                <w:sz w:val="28"/>
                <w:szCs w:val="28"/>
                <w:lang w:val="ru-RU"/>
              </w:rPr>
              <w:t>,</w:t>
            </w:r>
            <w:r>
              <w:rPr>
                <w:rStyle w:val="normaltextrun"/>
                <w:sz w:val="28"/>
                <w:szCs w:val="28"/>
              </w:rPr>
              <w:t xml:space="preserve"> І</w:t>
            </w:r>
            <w:r>
              <w:rPr>
                <w:rStyle w:val="normaltextrun"/>
                <w:sz w:val="28"/>
                <w:szCs w:val="28"/>
                <w:lang w:val="ru-RU"/>
              </w:rPr>
              <w:t xml:space="preserve">. (2006). </w:t>
            </w:r>
            <w:r w:rsidRPr="009B2E31">
              <w:rPr>
                <w:rStyle w:val="normaltextrun"/>
                <w:i/>
                <w:iCs/>
                <w:sz w:val="28"/>
                <w:szCs w:val="28"/>
              </w:rPr>
              <w:t>Американське літературознавство: Іст</w:t>
            </w:r>
            <w:r w:rsidRPr="009B2E31">
              <w:rPr>
                <w:rStyle w:val="normaltextrun"/>
                <w:i/>
                <w:iCs/>
                <w:sz w:val="28"/>
                <w:szCs w:val="28"/>
                <w:lang w:val="ru-RU"/>
              </w:rPr>
              <w:t>орико</w:t>
            </w:r>
            <w:r w:rsidRPr="009B2E31">
              <w:rPr>
                <w:rStyle w:val="normaltextrun"/>
                <w:i/>
                <w:iCs/>
                <w:sz w:val="28"/>
                <w:szCs w:val="28"/>
              </w:rPr>
              <w:t>-</w:t>
            </w:r>
            <w:r w:rsidRPr="009B2E31">
              <w:rPr>
                <w:rStyle w:val="spellingerror"/>
                <w:i/>
                <w:iCs/>
                <w:sz w:val="28"/>
                <w:szCs w:val="28"/>
              </w:rPr>
              <w:t>критич</w:t>
            </w:r>
            <w:r w:rsidRPr="009B2E31">
              <w:rPr>
                <w:rStyle w:val="spellingerror"/>
                <w:i/>
                <w:iCs/>
                <w:sz w:val="28"/>
                <w:szCs w:val="28"/>
                <w:lang w:val="ru-RU"/>
              </w:rPr>
              <w:t>ний</w:t>
            </w:r>
            <w:r w:rsidRPr="009B2E31">
              <w:rPr>
                <w:rStyle w:val="normaltextrun"/>
                <w:i/>
                <w:iCs/>
                <w:sz w:val="28"/>
                <w:szCs w:val="28"/>
                <w:lang w:val="ru-RU"/>
              </w:rPr>
              <w:t xml:space="preserve"> н</w:t>
            </w:r>
            <w:r w:rsidRPr="009B2E31">
              <w:rPr>
                <w:rStyle w:val="normaltextrun"/>
                <w:i/>
                <w:iCs/>
                <w:sz w:val="28"/>
                <w:szCs w:val="28"/>
              </w:rPr>
              <w:t>арис.</w:t>
            </w:r>
            <w:r w:rsidRPr="009B2E31">
              <w:rPr>
                <w:rStyle w:val="normaltextrun"/>
                <w:sz w:val="28"/>
                <w:szCs w:val="28"/>
              </w:rPr>
              <w:t xml:space="preserve"> Києво-Могилянська академія</w:t>
            </w:r>
            <w:r w:rsidRPr="009B2E31">
              <w:rPr>
                <w:rStyle w:val="normaltextrun"/>
                <w:sz w:val="28"/>
                <w:szCs w:val="28"/>
                <w:lang w:val="ru-RU"/>
              </w:rPr>
              <w:t>.</w:t>
            </w:r>
          </w:p>
          <w:p w:rsidR="008D69C9" w:rsidRPr="009B2E31" w:rsidRDefault="008D69C9" w:rsidP="009B2E3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B2E31">
              <w:rPr>
                <w:rStyle w:val="normaltextrun"/>
                <w:sz w:val="28"/>
                <w:szCs w:val="28"/>
              </w:rPr>
              <w:t>Хасан</w:t>
            </w:r>
            <w:r w:rsidRPr="009B2E31">
              <w:rPr>
                <w:rStyle w:val="normaltextrun"/>
                <w:sz w:val="28"/>
                <w:szCs w:val="28"/>
                <w:lang w:val="ru-RU"/>
              </w:rPr>
              <w:t xml:space="preserve">, </w:t>
            </w:r>
            <w:r w:rsidRPr="009B2E31">
              <w:rPr>
                <w:rStyle w:val="spellingerror"/>
                <w:sz w:val="28"/>
                <w:szCs w:val="28"/>
              </w:rPr>
              <w:t>І. (2004)</w:t>
            </w:r>
            <w:r w:rsidRPr="009B2E31">
              <w:rPr>
                <w:rStyle w:val="normaltextrun"/>
                <w:sz w:val="28"/>
                <w:szCs w:val="28"/>
              </w:rPr>
              <w:t xml:space="preserve">. </w:t>
            </w:r>
            <w:r w:rsidRPr="009B2E31">
              <w:rPr>
                <w:rStyle w:val="normaltextrun"/>
                <w:i/>
                <w:iCs/>
                <w:sz w:val="28"/>
                <w:szCs w:val="28"/>
              </w:rPr>
              <w:t xml:space="preserve">Після постмодернізму: пошуки естетики довіри. – Американська література на </w:t>
            </w:r>
            <w:r w:rsidRPr="009B2E31">
              <w:rPr>
                <w:rStyle w:val="spellingerror"/>
                <w:i/>
                <w:iCs/>
                <w:sz w:val="28"/>
                <w:szCs w:val="28"/>
              </w:rPr>
              <w:t>рубежі</w:t>
            </w:r>
            <w:r w:rsidRPr="009B2E31">
              <w:rPr>
                <w:rStyle w:val="normaltextrun"/>
                <w:i/>
                <w:iCs/>
                <w:sz w:val="28"/>
                <w:szCs w:val="28"/>
              </w:rPr>
              <w:t xml:space="preserve"> ХХ-ХХІ століть</w:t>
            </w:r>
            <w:r w:rsidRPr="009B2E31">
              <w:rPr>
                <w:rStyle w:val="normaltextrun"/>
                <w:sz w:val="28"/>
                <w:szCs w:val="28"/>
                <w:lang w:val="ru-RU"/>
              </w:rPr>
              <w:t xml:space="preserve">. </w:t>
            </w:r>
            <w:r w:rsidRPr="009B2E31">
              <w:rPr>
                <w:rStyle w:val="normaltextrun"/>
                <w:sz w:val="28"/>
                <w:szCs w:val="28"/>
              </w:rPr>
              <w:t>Матеріали ІІ Міжнародної конференції з літератури США</w:t>
            </w:r>
            <w:r w:rsidRPr="009B2E31">
              <w:rPr>
                <w:rStyle w:val="normaltextrun"/>
                <w:sz w:val="28"/>
                <w:szCs w:val="28"/>
                <w:lang w:val="ru-RU"/>
              </w:rPr>
              <w:t xml:space="preserve">.  </w:t>
            </w:r>
            <w:r w:rsidRPr="009B2E31">
              <w:rPr>
                <w:rStyle w:val="normaltextrun"/>
                <w:sz w:val="28"/>
                <w:szCs w:val="28"/>
              </w:rPr>
              <w:t>ІМВ</w:t>
            </w:r>
            <w:r w:rsidRPr="009B2E31">
              <w:rPr>
                <w:rStyle w:val="normaltextrun"/>
                <w:sz w:val="28"/>
                <w:szCs w:val="28"/>
                <w:lang w:val="ru-RU"/>
              </w:rPr>
              <w:t xml:space="preserve">. </w:t>
            </w:r>
            <w:r w:rsidRPr="009B2E31">
              <w:rPr>
                <w:rStyle w:val="normaltextrun"/>
                <w:sz w:val="28"/>
                <w:szCs w:val="28"/>
              </w:rPr>
              <w:t>С. 31-43.</w:t>
            </w:r>
          </w:p>
          <w:p w:rsidR="008D69C9" w:rsidRPr="009B2E31" w:rsidRDefault="008D69C9" w:rsidP="009B2E3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B2E31">
              <w:rPr>
                <w:rFonts w:ascii="Times New Roman" w:hAnsi="Times New Roman"/>
                <w:sz w:val="28"/>
                <w:szCs w:val="28"/>
                <w:lang w:val="fr-FR" w:eastAsia="en-US"/>
              </w:rPr>
              <w:t>Gontard</w:t>
            </w:r>
            <w:r w:rsidRPr="009666C1">
              <w:rPr>
                <w:rFonts w:ascii="Times New Roman" w:hAnsi="Times New Roman"/>
                <w:sz w:val="28"/>
                <w:szCs w:val="28"/>
                <w:lang w:val="fr-FR" w:eastAsia="en-US"/>
              </w:rPr>
              <w:t>,</w:t>
            </w:r>
            <w:r w:rsidRPr="009B2E31">
              <w:rPr>
                <w:rFonts w:ascii="Times New Roman" w:hAnsi="Times New Roman"/>
                <w:sz w:val="28"/>
                <w:szCs w:val="28"/>
                <w:lang w:val="fr-FR" w:eastAsia="en-US"/>
              </w:rPr>
              <w:t xml:space="preserve"> M. </w:t>
            </w:r>
            <w:r w:rsidRPr="009666C1">
              <w:rPr>
                <w:rFonts w:ascii="Times New Roman" w:hAnsi="Times New Roman"/>
                <w:sz w:val="28"/>
                <w:szCs w:val="28"/>
                <w:lang w:val="fr-FR" w:eastAsia="en-US"/>
              </w:rPr>
              <w:t xml:space="preserve">(2003). </w:t>
            </w:r>
            <w:r w:rsidRPr="009B2E31">
              <w:rPr>
                <w:rFonts w:ascii="Times New Roman" w:hAnsi="Times New Roman"/>
                <w:i/>
                <w:iCs/>
                <w:sz w:val="28"/>
                <w:szCs w:val="28"/>
                <w:lang w:val="fr-FR" w:eastAsia="en-US"/>
              </w:rPr>
              <w:t>Le postmodernisme en France: définition, critères, périodisation</w:t>
            </w:r>
            <w:r w:rsidRPr="009666C1">
              <w:rPr>
                <w:rFonts w:ascii="Times New Roman" w:hAnsi="Times New Roman"/>
                <w:i/>
                <w:iCs/>
                <w:sz w:val="28"/>
                <w:szCs w:val="28"/>
                <w:lang w:val="fr-FR" w:eastAsia="en-US"/>
              </w:rPr>
              <w:t>.</w:t>
            </w:r>
            <w:r w:rsidRPr="009B2E31">
              <w:rPr>
                <w:rFonts w:ascii="Times New Roman" w:hAnsi="Times New Roman"/>
                <w:sz w:val="28"/>
                <w:szCs w:val="28"/>
                <w:lang w:val="fr-FR" w:eastAsia="en-US"/>
              </w:rPr>
              <w:t xml:space="preserve"> Le temps des lettres. Quelles périodisations pour l’histoire de la littérature française du 20eme siècle ? </w:t>
            </w:r>
            <w:r w:rsidRPr="009B2E31">
              <w:rPr>
                <w:rFonts w:ascii="Times New Roman" w:hAnsi="Times New Roman"/>
                <w:sz w:val="28"/>
                <w:szCs w:val="28"/>
                <w:lang w:val="en-US" w:eastAsia="en-US"/>
              </w:rPr>
              <w:t>P</w:t>
            </w:r>
            <w:r w:rsidRPr="009B2E31">
              <w:rPr>
                <w:rFonts w:ascii="Times New Roman" w:hAnsi="Times New Roman"/>
                <w:sz w:val="28"/>
                <w:szCs w:val="28"/>
                <w:lang w:val="fr-FR" w:eastAsia="en-US"/>
              </w:rPr>
              <w:t>resses universitaires de Rennes. P. 283-294.</w:t>
            </w:r>
          </w:p>
          <w:p w:rsidR="008D69C9" w:rsidRPr="009B2E31" w:rsidRDefault="008D69C9" w:rsidP="009B2E31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B2E31">
              <w:rPr>
                <w:rFonts w:ascii="Times New Roman" w:hAnsi="Times New Roman"/>
                <w:sz w:val="28"/>
                <w:szCs w:val="28"/>
                <w:lang w:val="uk-UA" w:eastAsia="en-US"/>
              </w:rPr>
              <w:t>Judith, L</w:t>
            </w:r>
            <w:r w:rsidRPr="009B2E31">
              <w:rPr>
                <w:rFonts w:ascii="Times New Roman" w:hAnsi="Times New Roman"/>
                <w:sz w:val="28"/>
                <w:szCs w:val="28"/>
                <w:lang w:val="en-US" w:eastAsia="en-US"/>
              </w:rPr>
              <w:t>.</w:t>
            </w:r>
            <w:r w:rsidRPr="009B2E3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-Caen, Dinah, R. (2010). </w:t>
            </w:r>
            <w:r w:rsidRPr="009B2E31">
              <w:rPr>
                <w:rFonts w:ascii="Times New Roman" w:hAnsi="Times New Roman"/>
                <w:i/>
                <w:iCs/>
                <w:sz w:val="28"/>
                <w:szCs w:val="28"/>
                <w:lang w:val="uk-UA" w:eastAsia="en-US"/>
              </w:rPr>
              <w:t>L'historien et la littérature</w:t>
            </w:r>
            <w:r w:rsidRPr="009B2E31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. La Découverte, coll. "Repères". </w:t>
            </w:r>
            <w:bookmarkEnd w:id="0"/>
          </w:p>
          <w:p w:rsidR="008D69C9" w:rsidRPr="00D15CB1" w:rsidRDefault="008D69C9" w:rsidP="005B268A">
            <w:pPr>
              <w:pStyle w:val="BlockText"/>
              <w:spacing w:line="240" w:lineRule="auto"/>
              <w:ind w:left="0"/>
              <w:rPr>
                <w:szCs w:val="28"/>
              </w:rPr>
            </w:pPr>
          </w:p>
        </w:tc>
      </w:tr>
      <w:tr w:rsidR="008D69C9" w:rsidRPr="009666C1" w:rsidTr="005B268A">
        <w:tc>
          <w:tcPr>
            <w:tcW w:w="10343" w:type="dxa"/>
            <w:gridSpan w:val="2"/>
          </w:tcPr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Система оцінювання результатів навчання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2"/>
              <w:gridCol w:w="2968"/>
              <w:gridCol w:w="3501"/>
              <w:gridCol w:w="2439"/>
            </w:tblGrid>
            <w:tr w:rsidR="008D69C9" w:rsidRPr="00D15CB1" w:rsidTr="005B268A">
              <w:trPr>
                <w:trHeight w:val="739"/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uk-UA"/>
                    </w:rPr>
                    <w:t>№ з/п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Форма підсумкового контролю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Види навчальної діяльності студента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Максимальна кількість балів</w:t>
                  </w:r>
                </w:p>
              </w:tc>
            </w:tr>
            <w:tr w:rsidR="008D69C9" w:rsidRPr="009666C1" w:rsidTr="005B268A">
              <w:trPr>
                <w:trHeight w:val="1348"/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ind w:left="36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Передбачений підсумковий контроль – </w:t>
                  </w: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залік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ind w:left="256" w:hanging="238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1. Аудиторна та самостійна навчальна робота студента</w:t>
                  </w:r>
                </w:p>
                <w:p w:rsidR="008D69C9" w:rsidRPr="00D15CB1" w:rsidRDefault="008D69C9" w:rsidP="00777CC1">
                  <w:pPr>
                    <w:framePr w:hSpace="180" w:wrap="around" w:vAnchor="text" w:hAnchor="margin" w:x="-78" w:y="182"/>
                    <w:ind w:left="270" w:hanging="27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2. Модульна контрольна робота (МКР)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</w:p>
                <w:p w:rsidR="008D69C9" w:rsidRPr="00D15CB1" w:rsidRDefault="008D69C9" w:rsidP="00777CC1">
                  <w:pPr>
                    <w:framePr w:hSpace="180" w:wrap="around" w:vAnchor="text" w:hAnchor="margin" w:x="-78" w:y="182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8D69C9" w:rsidRPr="00D15CB1" w:rsidRDefault="008D69C9" w:rsidP="00777CC1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</w:p>
              </w:tc>
            </w:tr>
          </w:tbl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Поточне оцінювання всіх видів навчальної діяльності студента (аудиторна робота та самостійна робота) відбувається за 4-бальною шкалою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«0».</w:t>
            </w: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рейтинговий бал за роботу протягом семестру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шляхом помноження на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Таким чином, максимальний рейтинговий бал за роботу протягом семестру може становити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50.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рейтинговий бал за МКР 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такий спосіб:</w:t>
            </w:r>
          </w:p>
          <w:p w:rsidR="008D69C9" w:rsidRPr="00D15CB1" w:rsidRDefault="008D69C9" w:rsidP="005B268A">
            <w:pPr>
              <w:spacing w:after="0"/>
              <w:ind w:left="708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«відмінно»</w:t>
            </w:r>
            <w:r w:rsidRPr="0049709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50 балів;</w:t>
            </w: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«добре»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40 балів;</w:t>
            </w: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«задовільно»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30 балів;</w:t>
            </w: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«незадовільно»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– 20 балів;</w:t>
            </w:r>
          </w:p>
          <w:p w:rsidR="008D69C9" w:rsidRPr="00D15CB1" w:rsidRDefault="008D69C9" w:rsidP="005B268A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497093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Нез’явлення на МКР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– 0 балів.</w:t>
            </w:r>
          </w:p>
          <w:p w:rsidR="008D69C9" w:rsidRPr="00D15CB1" w:rsidRDefault="008D69C9" w:rsidP="005B268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Семестровий рейтинговий бал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сумою рейтингового бала за роботу протягом семестру і рейтингового бала за МКР.</w:t>
            </w:r>
          </w:p>
          <w:p w:rsidR="008D69C9" w:rsidRPr="00D15CB1" w:rsidRDefault="008D69C9" w:rsidP="005B26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Підсумковий контроль – залік – виставляється в національній шкалі ("зараховано", "не зараховано" та </w:t>
            </w:r>
            <w:r w:rsidRPr="00D15CB1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 шкалою ЄКТС на основі таких співвідношень :</w:t>
            </w:r>
          </w:p>
          <w:p w:rsidR="008D69C9" w:rsidRPr="00D15CB1" w:rsidRDefault="008D69C9" w:rsidP="005B268A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2700"/>
              <w:gridCol w:w="2784"/>
              <w:gridCol w:w="4035"/>
            </w:tblGrid>
            <w:tr w:rsidR="008D69C9" w:rsidRPr="009666C1" w:rsidTr="005B268A">
              <w:trPr>
                <w:trHeight w:val="528"/>
                <w:jc w:val="center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Семестровий рейтинговий бал</w:t>
                  </w:r>
                </w:p>
              </w:tc>
              <w:tc>
                <w:tcPr>
                  <w:tcW w:w="27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403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8D69C9" w:rsidRPr="009666C1" w:rsidTr="005B268A">
              <w:trPr>
                <w:trHeight w:val="380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90 – 100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зараховано</w:t>
                  </w:r>
                </w:p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D69C9" w:rsidRPr="009666C1" w:rsidTr="005B268A">
              <w:trPr>
                <w:cantSplit/>
                <w:trHeight w:val="379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82 – 89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bidi="ar-EG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D69C9" w:rsidRPr="009666C1" w:rsidTr="005B268A">
              <w:trPr>
                <w:cantSplit/>
                <w:trHeight w:val="32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rtl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75 – 81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D69C9" w:rsidRPr="009666C1" w:rsidTr="005B268A">
              <w:trPr>
                <w:cantSplit/>
                <w:trHeight w:val="351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66 – 74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D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D69C9" w:rsidRPr="009666C1" w:rsidTr="005B268A">
              <w:trPr>
                <w:cantSplit/>
                <w:trHeight w:val="39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60 – 65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D69C9" w:rsidRPr="009666C1" w:rsidTr="005B268A">
              <w:trPr>
                <w:trHeight w:hRule="exact" w:val="437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 – 59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FХ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8D69C9" w:rsidRPr="00D15CB1" w:rsidRDefault="008D69C9" w:rsidP="00777CC1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D15CB1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не зараховано</w:t>
                  </w:r>
                </w:p>
              </w:tc>
            </w:tr>
          </w:tbl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Студенти, які набрали семестровий рейтинговий бал 60 і вище отримують відповідну оцінку без складання заліку.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Студенти, які набрали семестровий рейтинговий бал 59 і нижче, складають залік і в разі успішного складання отримують оцінку "зараховано", 60 Е.</w:t>
            </w:r>
          </w:p>
          <w:p w:rsidR="008D69C9" w:rsidRPr="00D15CB1" w:rsidRDefault="008D69C9" w:rsidP="005B26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69C9" w:rsidRPr="009666C1" w:rsidTr="005B268A">
        <w:trPr>
          <w:trHeight w:val="1408"/>
        </w:trPr>
        <w:tc>
          <w:tcPr>
            <w:tcW w:w="10343" w:type="dxa"/>
            <w:gridSpan w:val="2"/>
          </w:tcPr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Політика навчальної дисципліни</w:t>
            </w:r>
          </w:p>
          <w:p w:rsidR="008D69C9" w:rsidRPr="00D15CB1" w:rsidRDefault="008D69C9" w:rsidP="005B268A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Політика щодо пропусків занять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 зобов’язані відвідувати аудиторні заняття і проходити всі форми поточного та підсумкового контролю, передбачені робочою програмою навчальної дисципліни.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студенти не можуть відвідувати певну кількість аудиторних занять  через поважні причини (хвороба, сімейні обставини тощо), вони мають їх відпрацювати. </w:t>
            </w:r>
          </w:p>
          <w:p w:rsidR="008D69C9" w:rsidRPr="00D15CB1" w:rsidRDefault="008D69C9" w:rsidP="005B268A">
            <w:pPr>
              <w:pStyle w:val="ListParagraph"/>
              <w:numPr>
                <w:ilvl w:val="0"/>
                <w:numId w:val="1"/>
              </w:num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Політика академічної доброчесності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У письмових роботах студентів не припустиме порушення академічної доброчесності. Зокрема: ● використання чужих текстів чи окремих фрагментів без належного покликання на джерело; ● використання перефразованих чужих ідей без покликання на авторів; ● несамостійне виконання будь-яких навчальних завдань.</w:t>
            </w:r>
          </w:p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Основні види відповідальності студентів за порушення академічної доброчесності: • повторне проходження оцінювання (контрольна робота, залік тощо); • повторне опанування відповідного освітнього компонента освітньої програми.</w:t>
            </w:r>
          </w:p>
        </w:tc>
      </w:tr>
      <w:tr w:rsidR="008D69C9" w:rsidRPr="009666C1" w:rsidTr="005B268A">
        <w:tc>
          <w:tcPr>
            <w:tcW w:w="10343" w:type="dxa"/>
            <w:gridSpan w:val="2"/>
          </w:tcPr>
          <w:p w:rsidR="008D69C9" w:rsidRPr="00D15CB1" w:rsidRDefault="008D69C9" w:rsidP="005B268A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Докладнішу інформацію про компетентності, здобуті внаслідок вивчення дисципліни, методи навчання наведено в робочій програмі курсу.</w:t>
            </w: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D69C9" w:rsidRPr="00D15CB1" w:rsidRDefault="008D69C9" w:rsidP="000A489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D69C9" w:rsidRPr="00F86CC2" w:rsidRDefault="008D69C9" w:rsidP="000A4896">
      <w:pPr>
        <w:rPr>
          <w:lang w:val="ru-RU"/>
        </w:rPr>
      </w:pPr>
    </w:p>
    <w:p w:rsidR="008D69C9" w:rsidRPr="004D4265" w:rsidRDefault="008D69C9" w:rsidP="000A4896">
      <w:pPr>
        <w:rPr>
          <w:lang w:val="ru-RU"/>
        </w:rPr>
      </w:pPr>
    </w:p>
    <w:p w:rsidR="008D69C9" w:rsidRPr="000A4896" w:rsidRDefault="008D69C9">
      <w:pPr>
        <w:rPr>
          <w:lang w:val="ru-RU"/>
        </w:rPr>
      </w:pPr>
    </w:p>
    <w:sectPr w:rsidR="008D69C9" w:rsidRPr="000A4896" w:rsidSect="00753134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22FB9"/>
    <w:multiLevelType w:val="hybridMultilevel"/>
    <w:tmpl w:val="0B9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1A7BC1"/>
    <w:multiLevelType w:val="hybridMultilevel"/>
    <w:tmpl w:val="0B983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C86AB7"/>
    <w:multiLevelType w:val="hybridMultilevel"/>
    <w:tmpl w:val="CFAA60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E60F9"/>
    <w:multiLevelType w:val="hybridMultilevel"/>
    <w:tmpl w:val="0BDA04BC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896"/>
    <w:rsid w:val="000A4896"/>
    <w:rsid w:val="00497093"/>
    <w:rsid w:val="004D4265"/>
    <w:rsid w:val="00541569"/>
    <w:rsid w:val="005B268A"/>
    <w:rsid w:val="00663559"/>
    <w:rsid w:val="00753134"/>
    <w:rsid w:val="00777CC1"/>
    <w:rsid w:val="008D69C9"/>
    <w:rsid w:val="009666C1"/>
    <w:rsid w:val="00974244"/>
    <w:rsid w:val="009B2E31"/>
    <w:rsid w:val="009C7304"/>
    <w:rsid w:val="00BA190F"/>
    <w:rsid w:val="00BC7DE3"/>
    <w:rsid w:val="00D15CB1"/>
    <w:rsid w:val="00D6097F"/>
    <w:rsid w:val="00E7485B"/>
    <w:rsid w:val="00F10C6B"/>
    <w:rsid w:val="00F214D9"/>
    <w:rsid w:val="00F8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9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A48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0A4896"/>
    <w:pPr>
      <w:spacing w:after="200" w:line="276" w:lineRule="auto"/>
      <w:ind w:left="720"/>
    </w:pPr>
    <w:rPr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rsid w:val="000A4896"/>
    <w:rPr>
      <w:rFonts w:cs="Times New Roman"/>
      <w:color w:val="0000FF"/>
      <w:u w:val="single"/>
    </w:rPr>
  </w:style>
  <w:style w:type="character" w:customStyle="1" w:styleId="211pt">
    <w:name w:val="Основной текст (2) + 11 pt"/>
    <w:aliases w:val="Полужирный"/>
    <w:uiPriority w:val="99"/>
    <w:rsid w:val="000A489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BlockText">
    <w:name w:val="Block Text"/>
    <w:basedOn w:val="Normal"/>
    <w:uiPriority w:val="99"/>
    <w:rsid w:val="000A4896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styleId="Strong">
    <w:name w:val="Strong"/>
    <w:basedOn w:val="DefaultParagraphFont"/>
    <w:uiPriority w:val="99"/>
    <w:qFormat/>
    <w:rsid w:val="000A489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0A4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0A4896"/>
    <w:rPr>
      <w:rFonts w:ascii="Calibri" w:eastAsia="Times New Roman" w:hAnsi="Calibri"/>
      <w:lang w:val="ru-RU"/>
    </w:rPr>
  </w:style>
  <w:style w:type="paragraph" w:customStyle="1" w:styleId="1">
    <w:name w:val="Абзац списка1"/>
    <w:basedOn w:val="Normal"/>
    <w:uiPriority w:val="99"/>
    <w:rsid w:val="00777CC1"/>
    <w:pPr>
      <w:spacing w:after="200" w:line="276" w:lineRule="auto"/>
      <w:ind w:left="720"/>
      <w:contextualSpacing/>
    </w:pPr>
    <w:rPr>
      <w:rFonts w:cs="Calibri"/>
      <w:lang w:val="uk-UA" w:eastAsia="zh-CN"/>
    </w:rPr>
  </w:style>
  <w:style w:type="paragraph" w:styleId="BodyText2">
    <w:name w:val="Body Text 2"/>
    <w:basedOn w:val="Normal"/>
    <w:link w:val="BodyText2Char"/>
    <w:uiPriority w:val="99"/>
    <w:semiHidden/>
    <w:rsid w:val="00777CC1"/>
    <w:pPr>
      <w:spacing w:after="0" w:line="360" w:lineRule="auto"/>
      <w:jc w:val="both"/>
    </w:pPr>
    <w:rPr>
      <w:rFonts w:ascii="Times New Roman" w:eastAsia="Times New Roman" w:hAnsi="Times New Roman"/>
      <w:spacing w:val="2"/>
      <w:sz w:val="24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77CC1"/>
    <w:rPr>
      <w:rFonts w:ascii="Times New Roman" w:hAnsi="Times New Roman" w:cs="Times New Roman"/>
      <w:spacing w:val="2"/>
      <w:sz w:val="20"/>
      <w:szCs w:val="20"/>
      <w:lang w:val="ru-RU" w:eastAsia="ru-RU"/>
    </w:rPr>
  </w:style>
  <w:style w:type="paragraph" w:customStyle="1" w:styleId="paragraph">
    <w:name w:val="paragraph"/>
    <w:basedOn w:val="Normal"/>
    <w:uiPriority w:val="99"/>
    <w:rsid w:val="009B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normaltextrun">
    <w:name w:val="normaltextrun"/>
    <w:basedOn w:val="DefaultParagraphFont"/>
    <w:uiPriority w:val="99"/>
    <w:rsid w:val="009B2E31"/>
    <w:rPr>
      <w:rFonts w:cs="Times New Roman"/>
    </w:rPr>
  </w:style>
  <w:style w:type="character" w:customStyle="1" w:styleId="spellingerror">
    <w:name w:val="spellingerror"/>
    <w:basedOn w:val="DefaultParagraphFont"/>
    <w:uiPriority w:val="99"/>
    <w:rsid w:val="009B2E3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na.yurchuk@knlu.edu.ua" TargetMode="External"/><Relationship Id="rId5" Type="http://schemas.openxmlformats.org/officeDocument/2006/relationships/hyperlink" Target="https://svitlit.knl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1087</Words>
  <Characters>6201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Олексіївна Юрчук</dc:creator>
  <cp:keywords/>
  <dc:description/>
  <cp:lastModifiedBy>geknelson78geknelson78@hotmail.com</cp:lastModifiedBy>
  <cp:revision>3</cp:revision>
  <dcterms:created xsi:type="dcterms:W3CDTF">2024-09-10T08:10:00Z</dcterms:created>
  <dcterms:modified xsi:type="dcterms:W3CDTF">2024-09-21T17:25:00Z</dcterms:modified>
</cp:coreProperties>
</file>